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F3" w:rsidRDefault="00DE60EE" w:rsidP="00DE60EE">
      <w:pPr>
        <w:pStyle w:val="Heading1"/>
        <w:ind w:firstLine="0"/>
      </w:pPr>
      <w:r>
        <w:t>Reactions</w:t>
      </w:r>
    </w:p>
    <w:p w:rsidR="00DE60EE" w:rsidRDefault="00DE60EE" w:rsidP="00DE60EE">
      <w:r>
        <w:t>Reactions involve transformations of chemical species or biological entities.</w:t>
      </w:r>
      <w:r w:rsidR="00676968">
        <w:t xml:space="preserve">  The discussion the follows will initially focus on chemical reactions, but then it will be broadened to include biological reactions.  </w:t>
      </w:r>
      <w:r>
        <w:t xml:space="preserve"> </w:t>
      </w:r>
    </w:p>
    <w:p w:rsidR="00DE60EE" w:rsidRDefault="00DE60EE" w:rsidP="00DE60EE">
      <w:pPr>
        <w:pStyle w:val="Heading2"/>
      </w:pPr>
      <w:r>
        <w:t>Conservation of Mass</w:t>
      </w:r>
    </w:p>
    <w:p w:rsidR="00DE60EE" w:rsidRDefault="00DE60EE" w:rsidP="00DE60EE">
      <w:r>
        <w:t xml:space="preserve">We assume that the mass of a chemical species is conserved within a control volume.  </w:t>
      </w:r>
    </w:p>
    <w:p w:rsidR="00DE60EE" w:rsidRDefault="00DE60EE" w:rsidP="00DE60EE">
      <w:pPr>
        <w:pStyle w:val="EQ"/>
      </w:pPr>
      <w:r>
        <w:tab/>
      </w:r>
      <w:r w:rsidRPr="00DF36B5">
        <w:object w:dxaOrig="20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31.5pt" o:ole="">
            <v:imagedata r:id="rId9" o:title=""/>
          </v:shape>
          <o:OLEObject Type="Embed" ProgID="Equation.DSMT4" ShapeID="_x0000_i1025" DrawAspect="Content" ObjectID="_1491237304" r:id="rId10"/>
        </w:object>
      </w:r>
      <w:r>
        <w:tab/>
        <w:t>(1)</w:t>
      </w:r>
    </w:p>
    <w:p w:rsidR="00DE60EE" w:rsidRPr="00CB2357" w:rsidRDefault="00DE60EE" w:rsidP="00DE60EE">
      <w:r>
        <w:t xml:space="preserve">In this case </w:t>
      </w:r>
      <w:r w:rsidRPr="001D7F56">
        <w:rPr>
          <w:position w:val="-6"/>
        </w:rPr>
        <w:object w:dxaOrig="740" w:dyaOrig="279">
          <v:shape id="_x0000_i1026" type="#_x0000_t75" style="width:37.5pt;height:14.5pt" o:ole="">
            <v:imagedata r:id="rId11" o:title=""/>
          </v:shape>
          <o:OLEObject Type="Embed" ProgID="Equation.DSMT4" ShapeID="_x0000_i1026" DrawAspect="Content" ObjectID="_1491237305" r:id="rId12"/>
        </w:object>
      </w:r>
      <w:r w:rsidRPr="00DE60EE">
        <w:rPr>
          <w:vertAlign w:val="subscript"/>
        </w:rPr>
        <w:t>s</w:t>
      </w:r>
      <w:r>
        <w:t xml:space="preserve">, the mass of a chemical species, and it follows that </w:t>
      </w:r>
      <w:r w:rsidR="00676968" w:rsidRPr="001D7F56">
        <w:rPr>
          <w:position w:val="-30"/>
        </w:rPr>
        <w:object w:dxaOrig="1180" w:dyaOrig="680">
          <v:shape id="_x0000_i1027" type="#_x0000_t75" style="width:60pt;height:34pt" o:ole="">
            <v:imagedata r:id="rId13" o:title=""/>
          </v:shape>
          <o:OLEObject Type="Embed" ProgID="Equation.DSMT4" ShapeID="_x0000_i1027" DrawAspect="Content" ObjectID="_1491237306" r:id="rId14"/>
        </w:object>
      </w:r>
      <w:r w:rsidR="00676968">
        <w:t>, the mass concentration.</w:t>
      </w:r>
      <w:r>
        <w:t xml:space="preserve">  It is important to recognize that the chemical species likely shares the control volume with other compounds.   </w:t>
      </w:r>
    </w:p>
    <w:p w:rsidR="00DE60EE" w:rsidRDefault="00DE60EE" w:rsidP="00DE60EE">
      <w:r>
        <w:t xml:space="preserve">Mass transport across the boundaries of the control volume will be ignored so </w:t>
      </w:r>
      <w:r w:rsidRPr="00A30EC5">
        <w:rPr>
          <w:rFonts w:ascii="ESSTIXThirteen" w:hAnsi="ESSTIXThirteen"/>
          <w:b/>
        </w:rPr>
        <w:t>D</w:t>
      </w:r>
      <w:r>
        <w:rPr>
          <w:b/>
        </w:rPr>
        <w:t>=</w:t>
      </w:r>
      <w:r w:rsidRPr="00DE60EE">
        <w:rPr>
          <w:rFonts w:ascii="ESSTIXThirteen" w:hAnsi="ESSTIXThirteen"/>
          <w:b/>
          <w:bCs/>
        </w:rPr>
        <w:t>A</w:t>
      </w:r>
      <w:r>
        <w:t xml:space="preserve">=0.   </w:t>
      </w:r>
    </w:p>
    <w:p w:rsidR="00DE60EE" w:rsidRDefault="00DE60EE" w:rsidP="00DE60EE">
      <w:pPr>
        <w:ind w:firstLine="0"/>
        <w:rPr>
          <w:rFonts w:ascii="Symbol" w:hAnsi="Symbol"/>
        </w:rPr>
      </w:pPr>
      <w:r>
        <w:t xml:space="preserve">Mass added to the control volume by a chemical reaction will be viewed as a source, so </w:t>
      </w:r>
      <w:r>
        <w:rPr>
          <w:rFonts w:ascii="Symbol" w:hAnsi="Symbol"/>
        </w:rPr>
        <w:t></w:t>
      </w:r>
      <w:r>
        <w:rPr>
          <w:rFonts w:ascii="Symbol" w:hAnsi="Symbol"/>
        </w:rPr>
        <w:t></w:t>
      </w:r>
    </w:p>
    <w:p w:rsidR="00DE60EE" w:rsidRDefault="00DE60EE" w:rsidP="00DE60EE">
      <w:pPr>
        <w:pStyle w:val="EQ"/>
      </w:pPr>
      <w:r>
        <w:rPr>
          <w:rFonts w:ascii="ESSTIXThirteen" w:hAnsi="ESSTIXThirteen"/>
        </w:rPr>
        <w:tab/>
      </w:r>
      <w:r w:rsidRPr="00A30EC5">
        <w:rPr>
          <w:rFonts w:ascii="ESSTIXThirteen" w:hAnsi="ESSTIXThirteen"/>
        </w:rPr>
        <w:t>S</w:t>
      </w:r>
      <w:r>
        <w:t xml:space="preserve"> = </w:t>
      </w:r>
      <w:r>
        <w:rPr>
          <w:rFonts w:ascii="ESSTIXThirteen" w:hAnsi="ESSTIXThirteen"/>
        </w:rPr>
        <w:t>R</w:t>
      </w:r>
      <w:r w:rsidRPr="00DE3131">
        <w:t xml:space="preserve">  </w:t>
      </w:r>
      <w:r w:rsidR="00676968">
        <w:tab/>
        <w:t>(2</w:t>
      </w:r>
      <w:r>
        <w:t>)</w:t>
      </w:r>
    </w:p>
    <w:p w:rsidR="00DE60EE" w:rsidRPr="00DE3131" w:rsidRDefault="00DE60EE" w:rsidP="00DE60EE">
      <w:pPr>
        <w:pStyle w:val="EQ"/>
      </w:pPr>
      <w:r>
        <w:t xml:space="preserve">where </w:t>
      </w:r>
      <w:r w:rsidRPr="00DE60EE">
        <w:rPr>
          <w:rFonts w:ascii="ESSTIXThirteen" w:hAnsi="ESSTIXThirteen"/>
        </w:rPr>
        <w:t>R</w:t>
      </w:r>
      <w:r>
        <w:t xml:space="preserve"> is the rate of mass produced by the source per unit volume.  </w:t>
      </w:r>
      <w:r w:rsidR="00676968">
        <w:t xml:space="preserve">Substituting (2) </w:t>
      </w:r>
      <w:r>
        <w:t xml:space="preserve">into (1) gives  </w:t>
      </w:r>
    </w:p>
    <w:p w:rsidR="00DE60EE" w:rsidRDefault="00DE60EE" w:rsidP="00DE60EE">
      <w:pPr>
        <w:pStyle w:val="EQ"/>
      </w:pPr>
      <w:r>
        <w:tab/>
      </w:r>
      <w:r w:rsidR="00676968" w:rsidRPr="00A30EC5">
        <w:rPr>
          <w:position w:val="-24"/>
        </w:rPr>
        <w:object w:dxaOrig="840" w:dyaOrig="620">
          <v:shape id="_x0000_i1028" type="#_x0000_t75" style="width:42pt;height:31.5pt" o:ole="">
            <v:imagedata r:id="rId15" o:title=""/>
          </v:shape>
          <o:OLEObject Type="Embed" ProgID="Equation.DSMT4" ShapeID="_x0000_i1028" DrawAspect="Content" ObjectID="_1491237307" r:id="rId16"/>
        </w:object>
      </w:r>
      <w:r w:rsidR="00676968">
        <w:tab/>
        <w:t>(3</w:t>
      </w:r>
      <w:r>
        <w:t>)</w:t>
      </w:r>
    </w:p>
    <w:p w:rsidR="00676968" w:rsidRDefault="00DE60EE" w:rsidP="00DE60EE">
      <w:pPr>
        <w:pStyle w:val="EQ"/>
      </w:pPr>
      <w:r>
        <w:t xml:space="preserve">This is the same as the conservation of mass during flow through a porous medium with the porosity and saturation set equal to unity. </w:t>
      </w:r>
    </w:p>
    <w:p w:rsidR="00F21A62" w:rsidRDefault="00F21A62" w:rsidP="00F21A62">
      <w:pPr>
        <w:pStyle w:val="Heading2"/>
      </w:pPr>
      <w:r>
        <w:t>Reactions</w:t>
      </w:r>
    </w:p>
    <w:p w:rsidR="00676968" w:rsidRDefault="00F21A62" w:rsidP="00F21A62">
      <w:r>
        <w:t xml:space="preserve">Chemical and biological reactions will be included in processes by characterizing the term R in (3).  This is done by writing a reaction describing the process and determining an expression for the rate of the reaction. </w:t>
      </w:r>
      <w:r w:rsidR="00676968">
        <w:t>Chemical reactions written in stoichiometric form take the form</w:t>
      </w:r>
    </w:p>
    <w:p w:rsidR="00676968" w:rsidRDefault="00A04D9E" w:rsidP="00DE60EE">
      <w:pPr>
        <w:pStyle w:val="EQ"/>
      </w:pPr>
      <w:r>
        <w:t xml:space="preserve">                                                             </w:t>
      </w:r>
      <w:r w:rsidR="001D4D23">
        <w:t>A+2</w:t>
      </w:r>
      <w:r w:rsidR="001D4D23" w:rsidRPr="00676968">
        <w:t>B</w:t>
      </w:r>
      <w:r w:rsidR="001D4D23" w:rsidRPr="00676968">
        <w:sym w:font="Wingdings" w:char="F0E0"/>
      </w:r>
      <w:r w:rsidR="001D4D23" w:rsidRPr="00676968">
        <w:t>3P</w:t>
      </w:r>
      <w:r>
        <w:tab/>
        <w:t>(4)</w:t>
      </w:r>
    </w:p>
    <w:p w:rsidR="00676968" w:rsidRDefault="00676968" w:rsidP="00A04D9E">
      <w:pPr>
        <w:pStyle w:val="EQ"/>
      </w:pPr>
      <w:r>
        <w:t xml:space="preserve">Where </w:t>
      </w:r>
      <w:r w:rsidR="001D4D23">
        <w:t>A and B are reactants and P is a product, and</w:t>
      </w:r>
      <w:r>
        <w:t xml:space="preserve"> the numbers represent stoichiometry.  The rates of change during this reaction are</w:t>
      </w:r>
    </w:p>
    <w:p w:rsidR="00DE60EE" w:rsidRDefault="00E567EA" w:rsidP="00DE60EE">
      <w:pPr>
        <w:pStyle w:val="EQ"/>
      </w:pPr>
      <w:r>
        <w:pict w14:anchorId="558E3439">
          <v:shape id="Object 3" o:spid="_x0000_s1027" type="#_x0000_t75" style="position:absolute;margin-left:167.65pt;margin-top:6.7pt;width:141pt;height:33pt;z-index:251659264;visibility:visible">
            <v:imagedata r:id="rId17" o:title=""/>
          </v:shape>
          <o:OLEObject Type="Embed" ProgID="Equation.DSMT4" ShapeID="Object 3" DrawAspect="Content" ObjectID="_1491237364" r:id="rId18"/>
        </w:pict>
      </w:r>
      <w:r w:rsidR="00676968" w:rsidRPr="00676968">
        <w:t xml:space="preserve">          </w:t>
      </w:r>
      <w:r w:rsidR="00DE60EE">
        <w:t xml:space="preserve"> </w:t>
      </w:r>
    </w:p>
    <w:p w:rsidR="00A04D9E" w:rsidRDefault="00A04D9E" w:rsidP="00DE60EE">
      <w:pPr>
        <w:pStyle w:val="EQ"/>
      </w:pPr>
      <w:r>
        <w:tab/>
      </w:r>
      <w:r>
        <w:tab/>
      </w:r>
      <w:r>
        <w:tab/>
        <w:t>(5)</w:t>
      </w:r>
    </w:p>
    <w:p w:rsidR="00DE60EE" w:rsidRDefault="001D4D23" w:rsidP="00A04D9E">
      <w:pPr>
        <w:ind w:firstLine="0"/>
      </w:pPr>
      <w:r>
        <w:lastRenderedPageBreak/>
        <w:t xml:space="preserve">Where the square brackets indicate a molar concentration.  </w:t>
      </w:r>
      <w:r w:rsidR="00A04D9E">
        <w:t xml:space="preserve">The sign convention is for rates involving reactants to be negative and rates for products are positive.  The coefficients multiplying the rates are the inverse of the stoichiometric terms in the reaction expression (4).  </w:t>
      </w:r>
      <w:r w:rsidR="00DE60EE">
        <w:t xml:space="preserve"> </w:t>
      </w:r>
    </w:p>
    <w:p w:rsidR="009442C6" w:rsidRDefault="009442C6" w:rsidP="009442C6">
      <w:pPr>
        <w:pStyle w:val="Heading3"/>
      </w:pPr>
      <w:r>
        <w:t>Ion Activity Product</w:t>
      </w:r>
      <w:r w:rsidR="001616FD">
        <w:t>, Reaction Quotient</w:t>
      </w:r>
    </w:p>
    <w:p w:rsidR="001D4D23" w:rsidRDefault="001D4D23" w:rsidP="00A04D9E">
      <w:pPr>
        <w:ind w:firstLine="0"/>
      </w:pPr>
      <w:r>
        <w:t>The general form of the expression describing the reaction kinetics follows from some basic principles from chemistry.  Recall that the reaction in (4) can be written like this</w:t>
      </w:r>
    </w:p>
    <w:p w:rsidR="001D4D23" w:rsidRDefault="000B2ECB" w:rsidP="000B2ECB">
      <w:pPr>
        <w:pStyle w:val="EQ"/>
      </w:pPr>
      <w:r>
        <w:tab/>
      </w:r>
      <w:r w:rsidR="001D4D23" w:rsidRPr="001D4D23">
        <w:rPr>
          <w:position w:val="-34"/>
        </w:rPr>
        <w:object w:dxaOrig="1300" w:dyaOrig="800">
          <v:shape id="_x0000_i1029" type="#_x0000_t75" style="width:65.5pt;height:40pt" o:ole="">
            <v:imagedata r:id="rId19" o:title=""/>
          </v:shape>
          <o:OLEObject Type="Embed" ProgID="Equation.DSMT4" ShapeID="_x0000_i1029" DrawAspect="Content" ObjectID="_1491237308" r:id="rId20"/>
        </w:object>
      </w:r>
      <w:r w:rsidR="00AC123F">
        <w:tab/>
        <w:t>(6)</w:t>
      </w:r>
    </w:p>
    <w:p w:rsidR="001D4D23" w:rsidRDefault="001D4D23" w:rsidP="00A04D9E">
      <w:pPr>
        <w:ind w:firstLine="0"/>
      </w:pPr>
      <w:r>
        <w:t xml:space="preserve">Where Q is the </w:t>
      </w:r>
      <w:r w:rsidRPr="009442C6">
        <w:rPr>
          <w:i/>
        </w:rPr>
        <w:t>ion activity product</w:t>
      </w:r>
      <w:r>
        <w:t xml:space="preserve"> or the </w:t>
      </w:r>
      <w:r w:rsidRPr="009442C6">
        <w:rPr>
          <w:i/>
        </w:rPr>
        <w:t>reaction quotient</w:t>
      </w:r>
      <w:r>
        <w:t>, and the square brackets indicate molar concentrations, as above.</w:t>
      </w:r>
      <w:r w:rsidR="00AC123F">
        <w:t xml:space="preserve">  The reactants are in the denominator and the products in the numerator by convention.</w:t>
      </w:r>
      <w:r>
        <w:t xml:space="preserve">  Another way to write this is using an index notation</w:t>
      </w:r>
    </w:p>
    <w:p w:rsidR="001D4D23" w:rsidRDefault="000B2ECB" w:rsidP="000B2ECB">
      <w:pPr>
        <w:pStyle w:val="EQ"/>
      </w:pPr>
      <w:r>
        <w:tab/>
      </w:r>
      <w:r w:rsidR="00AC123F" w:rsidRPr="001D4D23">
        <w:rPr>
          <w:position w:val="-30"/>
        </w:rPr>
        <w:object w:dxaOrig="960" w:dyaOrig="720">
          <v:shape id="_x0000_i1030" type="#_x0000_t75" style="width:48pt;height:36pt" o:ole="">
            <v:imagedata r:id="rId21" o:title=""/>
          </v:shape>
          <o:OLEObject Type="Embed" ProgID="Equation.DSMT4" ShapeID="_x0000_i1030" DrawAspect="Content" ObjectID="_1491237309" r:id="rId22"/>
        </w:object>
      </w:r>
      <w:r w:rsidR="00AC123F">
        <w:tab/>
        <w:t>(7)</w:t>
      </w:r>
    </w:p>
    <w:p w:rsidR="00AC123F" w:rsidRDefault="00AC123F" w:rsidP="00A04D9E">
      <w:pPr>
        <w:ind w:firstLine="0"/>
      </w:pPr>
      <w:r>
        <w:t xml:space="preserve">Where </w:t>
      </w:r>
      <w:r w:rsidRPr="00AC123F">
        <w:rPr>
          <w:i/>
        </w:rPr>
        <w:t>a</w:t>
      </w:r>
      <w:r w:rsidRPr="00AC123F">
        <w:rPr>
          <w:vertAlign w:val="subscript"/>
        </w:rPr>
        <w:t>i</w:t>
      </w:r>
      <w:r>
        <w:t xml:space="preserve"> is a molar concentration and the subscripts are used to identify the species, so </w:t>
      </w:r>
      <w:r w:rsidRPr="00AC123F">
        <w:rPr>
          <w:i/>
        </w:rPr>
        <w:t>a</w:t>
      </w:r>
      <w:r w:rsidRPr="00AC123F">
        <w:rPr>
          <w:vertAlign w:val="subscript"/>
        </w:rPr>
        <w:t>1</w:t>
      </w:r>
      <w:r>
        <w:t xml:space="preserve">=[P], </w:t>
      </w:r>
      <w:r w:rsidRPr="00AC123F">
        <w:rPr>
          <w:i/>
        </w:rPr>
        <w:t>a</w:t>
      </w:r>
      <w:r w:rsidRPr="00AC123F">
        <w:rPr>
          <w:vertAlign w:val="subscript"/>
        </w:rPr>
        <w:t>2</w:t>
      </w:r>
      <w:r>
        <w:t xml:space="preserve">=[A] and </w:t>
      </w:r>
      <w:r w:rsidRPr="00AC123F">
        <w:rPr>
          <w:i/>
        </w:rPr>
        <w:t>a</w:t>
      </w:r>
      <w:r w:rsidRPr="00AC123F">
        <w:rPr>
          <w:vertAlign w:val="subscript"/>
        </w:rPr>
        <w:t>3</w:t>
      </w:r>
      <w:r>
        <w:t xml:space="preserve">=[B].  The superscripts on </w:t>
      </w:r>
      <w:r w:rsidRPr="00AC123F">
        <w:rPr>
          <w:i/>
        </w:rPr>
        <w:t>a</w:t>
      </w:r>
      <w:r>
        <w:t xml:space="preserve"> are the stoichiometric coefficients in the reaction, as in (6).  The motivation for writing Q using (7) is that we can write the reaction using even more compact notation.    </w:t>
      </w:r>
    </w:p>
    <w:p w:rsidR="00AC123F" w:rsidRDefault="000B2ECB" w:rsidP="000B2ECB">
      <w:pPr>
        <w:pStyle w:val="EQ"/>
      </w:pPr>
      <w:r>
        <w:tab/>
      </w:r>
      <w:r w:rsidR="00C645E1" w:rsidRPr="001D4D23">
        <w:rPr>
          <w:position w:val="-30"/>
        </w:rPr>
        <w:object w:dxaOrig="2799" w:dyaOrig="720">
          <v:shape id="_x0000_i1031" type="#_x0000_t75" style="width:140pt;height:36pt" o:ole="">
            <v:imagedata r:id="rId23" o:title=""/>
          </v:shape>
          <o:OLEObject Type="Embed" ProgID="Equation.DSMT4" ShapeID="_x0000_i1031" DrawAspect="Content" ObjectID="_1491237310" r:id="rId24"/>
        </w:object>
      </w:r>
      <w:r>
        <w:tab/>
        <w:t>(8)</w:t>
      </w:r>
    </w:p>
    <w:p w:rsidR="00AC123F" w:rsidRDefault="00C510E3" w:rsidP="00A04D9E">
      <w:pPr>
        <w:ind w:firstLine="0"/>
      </w:pPr>
      <w:r>
        <w:t>w</w:t>
      </w:r>
      <w:r w:rsidR="00AC123F">
        <w:t xml:space="preserve">here </w:t>
      </w:r>
      <w:r w:rsidR="00AC123F" w:rsidRPr="00AC123F">
        <w:rPr>
          <w:rFonts w:ascii="Symbol" w:hAnsi="Symbol"/>
        </w:rPr>
        <w:t></w:t>
      </w:r>
      <w:r w:rsidR="00AC123F">
        <w:t xml:space="preserve"> is a vector of stoichiometric coefficients, </w:t>
      </w:r>
      <w:r w:rsidR="00AC123F" w:rsidRPr="00AC123F">
        <w:rPr>
          <w:rFonts w:ascii="Symbol" w:hAnsi="Symbol"/>
        </w:rPr>
        <w:t></w:t>
      </w:r>
      <w:r w:rsidR="00AC123F">
        <w:rPr>
          <w:rFonts w:ascii="Symbol" w:hAnsi="Symbol"/>
        </w:rPr>
        <w:t></w:t>
      </w:r>
      <w:r w:rsidR="00AC123F">
        <w:t>= [3,-1,</w:t>
      </w:r>
      <w:r w:rsidR="00C645E1">
        <w:t>-</w:t>
      </w:r>
      <w:r w:rsidR="00AC123F">
        <w:t xml:space="preserve">2].  The capital pi symbol is </w:t>
      </w:r>
      <w:r w:rsidR="000B2ECB">
        <w:t xml:space="preserve">the  product symbol.  Eq (8) is written for the example in (4), but the form is general and can be used to represent any standard reaction.  The sign convention in (8) is that the products of the reaction have a positive exponent, and the exponent of the reactants is negative because the reactants appear in the denominator in (6) and (7).   </w:t>
      </w:r>
    </w:p>
    <w:p w:rsidR="00D9518F" w:rsidRDefault="00D9518F" w:rsidP="00A04D9E">
      <w:pPr>
        <w:ind w:firstLine="0"/>
      </w:pPr>
    </w:p>
    <w:p w:rsidR="000B2ECB" w:rsidRDefault="000B2ECB" w:rsidP="00D9518F">
      <w:pPr>
        <w:pStyle w:val="EQ"/>
        <w:spacing w:before="0" w:after="0"/>
      </w:pPr>
      <w:r>
        <w:t xml:space="preserve">Reaction Products </w:t>
      </w:r>
      <w:r w:rsidRPr="000B2ECB">
        <w:rPr>
          <w:rFonts w:ascii="Symbol" w:hAnsi="Symbol"/>
        </w:rPr>
        <w:t></w:t>
      </w:r>
      <w:r>
        <w:t>&gt;0</w:t>
      </w:r>
    </w:p>
    <w:p w:rsidR="000B2ECB" w:rsidRDefault="000B2ECB" w:rsidP="00D9518F">
      <w:pPr>
        <w:pStyle w:val="EQ"/>
        <w:spacing w:before="0" w:after="0"/>
      </w:pPr>
      <w:r>
        <w:t xml:space="preserve">Reactants </w:t>
      </w:r>
      <w:r w:rsidRPr="000B2ECB">
        <w:rPr>
          <w:rFonts w:ascii="Symbol" w:hAnsi="Symbol"/>
        </w:rPr>
        <w:t></w:t>
      </w:r>
      <w:r>
        <w:t>&lt;0</w:t>
      </w:r>
    </w:p>
    <w:p w:rsidR="006F04F3" w:rsidRDefault="006F04F3" w:rsidP="00D9518F">
      <w:pPr>
        <w:pStyle w:val="EQ"/>
        <w:spacing w:before="0" w:after="0"/>
      </w:pPr>
    </w:p>
    <w:p w:rsidR="006F04F3" w:rsidRDefault="006F04F3" w:rsidP="00D9518F">
      <w:pPr>
        <w:pStyle w:val="EQ"/>
        <w:spacing w:before="0" w:after="0"/>
      </w:pPr>
      <w:r>
        <w:t>Based on those definitions, it appears that Eq (8) can be rewritten as</w:t>
      </w:r>
    </w:p>
    <w:p w:rsidR="006F04F3" w:rsidRDefault="006F04F3" w:rsidP="00D9518F">
      <w:pPr>
        <w:pStyle w:val="EQ"/>
        <w:spacing w:before="0" w:after="0"/>
      </w:pPr>
      <w:r>
        <w:tab/>
      </w:r>
      <w:r w:rsidRPr="006F04F3">
        <w:rPr>
          <w:position w:val="-64"/>
        </w:rPr>
        <w:object w:dxaOrig="1260" w:dyaOrig="1400">
          <v:shape id="_x0000_i1032" type="#_x0000_t75" style="width:63pt;height:69.5pt" o:ole="">
            <v:imagedata r:id="rId25" o:title=""/>
          </v:shape>
          <o:OLEObject Type="Embed" ProgID="Equation.DSMT4" ShapeID="_x0000_i1032" DrawAspect="Content" ObjectID="_1491237311" r:id="rId26"/>
        </w:object>
      </w:r>
      <w:r>
        <w:tab/>
        <w:t>(9)</w:t>
      </w:r>
    </w:p>
    <w:p w:rsidR="006F04F3" w:rsidRDefault="006F04F3" w:rsidP="00D9518F">
      <w:pPr>
        <w:pStyle w:val="EQ"/>
        <w:spacing w:before="0" w:after="0"/>
      </w:pPr>
    </w:p>
    <w:p w:rsidR="009442C6" w:rsidRDefault="009442C6" w:rsidP="009442C6">
      <w:pPr>
        <w:pStyle w:val="Heading3"/>
      </w:pPr>
      <w:r>
        <w:t>Equilibrium Constant</w:t>
      </w:r>
    </w:p>
    <w:p w:rsidR="006F04F3" w:rsidRDefault="003B6033" w:rsidP="006F04F3">
      <w:r>
        <w:lastRenderedPageBreak/>
        <w:t>Chemical reactions equilibrate when the concentrations of products and reactants are present in a particular proportion defined when the Q=K, where K is the equilibrium constant</w:t>
      </w:r>
      <w:r w:rsidR="009442C6">
        <w:t>.</w:t>
      </w:r>
      <w:r w:rsidR="006F04F3">
        <w:t xml:space="preserve"> So, from (9) we get</w:t>
      </w:r>
      <w:r w:rsidR="00CE6FBB">
        <w:t xml:space="preserve"> the equilibrium constant as</w:t>
      </w:r>
    </w:p>
    <w:p w:rsidR="006F04F3" w:rsidRDefault="00CE6FBB" w:rsidP="00CE6FBB">
      <w:pPr>
        <w:pStyle w:val="EQ"/>
      </w:pPr>
      <w:r>
        <w:tab/>
      </w:r>
      <w:r w:rsidR="006F04F3" w:rsidRPr="006F04F3">
        <w:rPr>
          <w:position w:val="-64"/>
        </w:rPr>
        <w:object w:dxaOrig="1540" w:dyaOrig="1400">
          <v:shape id="_x0000_i1033" type="#_x0000_t75" style="width:77pt;height:69.5pt" o:ole="">
            <v:imagedata r:id="rId27" o:title=""/>
          </v:shape>
          <o:OLEObject Type="Embed" ProgID="Equation.DSMT4" ShapeID="_x0000_i1033" DrawAspect="Content" ObjectID="_1491237312" r:id="rId28"/>
        </w:object>
      </w:r>
      <w:r>
        <w:tab/>
        <w:t>(10)</w:t>
      </w:r>
    </w:p>
    <w:p w:rsidR="006F04F3" w:rsidRDefault="00CE6FBB" w:rsidP="00CE6FBB">
      <w:pPr>
        <w:ind w:firstLine="0"/>
      </w:pPr>
      <w:r>
        <w:t>w</w:t>
      </w:r>
      <w:r w:rsidR="006F04F3">
        <w:t xml:space="preserve">here the subscripts indicate equilibrium conditions.  </w:t>
      </w:r>
      <w:r w:rsidR="009442C6">
        <w:t xml:space="preserve">  </w:t>
      </w:r>
    </w:p>
    <w:p w:rsidR="006F04F3" w:rsidRDefault="009442C6" w:rsidP="006F04F3">
      <w:r>
        <w:t>Equilibrium constants can be calculated or measured for different chemical reactions, and they are known for many reactions under many conditions.  Equilibrium constants vary with temperature and other conditions, so they are a good measure of how a reaction is affected by environmental conditions.</w:t>
      </w:r>
    </w:p>
    <w:p w:rsidR="006F04F3" w:rsidRDefault="009442C6" w:rsidP="006F04F3">
      <w:r>
        <w:t>Here is a summary of important points.  Q can be calculated for any assemblage of constituents in a reaction.  When the concentration of reactants is large relative to products, then Q will be small, according to (8).  As the reactants are consumed, Q increases and the system equilibrates when Q=K.  For reversible reactions, it is also possible that the concentration of products is initially large.  In this case, Q could initially be larger than K.  The reaction would proceed in reverse and Q would decrease until Q=K and the system reached equilibrium.</w:t>
      </w:r>
    </w:p>
    <w:p w:rsidR="003B6033" w:rsidRDefault="009442C6" w:rsidP="009442C6">
      <w:pPr>
        <w:pStyle w:val="Heading3"/>
      </w:pPr>
      <w:r>
        <w:t>Reaction Rate</w:t>
      </w:r>
    </w:p>
    <w:p w:rsidR="00C645E1" w:rsidRDefault="00C645E1" w:rsidP="00A04D9E">
      <w:pPr>
        <w:ind w:firstLine="0"/>
      </w:pPr>
      <w:r>
        <w:t>The forward reaction rate is assumed to be proportional to the product of the reactants, which for the example is</w:t>
      </w:r>
    </w:p>
    <w:p w:rsidR="00C645E1" w:rsidRDefault="00C510E3" w:rsidP="00C510E3">
      <w:pPr>
        <w:pStyle w:val="EQ"/>
      </w:pPr>
      <w:r>
        <w:tab/>
      </w:r>
      <w:r w:rsidR="003B6033" w:rsidRPr="003B6033">
        <w:rPr>
          <w:position w:val="-14"/>
        </w:rPr>
        <w:object w:dxaOrig="1120" w:dyaOrig="400">
          <v:shape id="_x0000_i1034" type="#_x0000_t75" style="width:56pt;height:20.5pt" o:ole="">
            <v:imagedata r:id="rId29" o:title=""/>
          </v:shape>
          <o:OLEObject Type="Embed" ProgID="Equation.DSMT4" ShapeID="_x0000_i1034" DrawAspect="Content" ObjectID="_1491237313" r:id="rId30"/>
        </w:object>
      </w:r>
      <w:r>
        <w:tab/>
        <w:t>(</w:t>
      </w:r>
      <w:r w:rsidR="006F04F3">
        <w:t>1</w:t>
      </w:r>
      <w:r w:rsidR="00CE6FBB">
        <w:t>1</w:t>
      </w:r>
      <w:r>
        <w:t>)</w:t>
      </w:r>
    </w:p>
    <w:p w:rsidR="00C645E1" w:rsidRDefault="00C510E3" w:rsidP="00A04D9E">
      <w:pPr>
        <w:ind w:firstLine="0"/>
      </w:pPr>
      <w:r>
        <w:t>w</w:t>
      </w:r>
      <w:r w:rsidR="00C645E1">
        <w:t xml:space="preserve">here k+ is the forward reaction rate constant.  </w:t>
      </w:r>
      <w:r>
        <w:t xml:space="preserve">Conceptually, this means that the rate of the forward reaction depends on the concentrations of all of the reactants, which seems reasonable.  </w:t>
      </w:r>
      <w:r w:rsidR="00C645E1">
        <w:t>In general, the forward reaction rate can be generalized using the product symbol as</w:t>
      </w:r>
    </w:p>
    <w:p w:rsidR="00C645E1" w:rsidRDefault="00C510E3" w:rsidP="00C510E3">
      <w:pPr>
        <w:pStyle w:val="EQ"/>
      </w:pPr>
      <w:r>
        <w:tab/>
      </w:r>
      <w:r w:rsidR="003B6033" w:rsidRPr="00C645E1">
        <w:rPr>
          <w:position w:val="-32"/>
        </w:rPr>
        <w:object w:dxaOrig="1460" w:dyaOrig="720">
          <v:shape id="_x0000_i1035" type="#_x0000_t75" style="width:73pt;height:36pt" o:ole="">
            <v:imagedata r:id="rId31" o:title=""/>
          </v:shape>
          <o:OLEObject Type="Embed" ProgID="Equation.DSMT4" ShapeID="_x0000_i1035" DrawAspect="Content" ObjectID="_1491237314" r:id="rId32"/>
        </w:object>
      </w:r>
      <w:r>
        <w:tab/>
        <w:t>(1</w:t>
      </w:r>
      <w:r w:rsidR="00CE6FBB">
        <w:t>2</w:t>
      </w:r>
      <w:r>
        <w:t>)</w:t>
      </w:r>
    </w:p>
    <w:p w:rsidR="00C510E3" w:rsidRDefault="00C510E3" w:rsidP="00A04D9E">
      <w:pPr>
        <w:ind w:firstLine="0"/>
      </w:pPr>
      <w:r>
        <w:t>w</w:t>
      </w:r>
      <w:r w:rsidR="00C645E1">
        <w:t>here i,</w:t>
      </w:r>
      <w:r w:rsidR="00C645E1" w:rsidRPr="00C645E1">
        <w:rPr>
          <w:rFonts w:ascii="Symbol" w:hAnsi="Symbol"/>
        </w:rPr>
        <w:t></w:t>
      </w:r>
      <w:r w:rsidRPr="00C510E3">
        <w:rPr>
          <w:vertAlign w:val="subscript"/>
        </w:rPr>
        <w:t>i</w:t>
      </w:r>
      <w:r w:rsidR="00C645E1">
        <w:t>&lt;0 means that you should take the product of all the terms with a stoichiometric exponent less than 0</w:t>
      </w:r>
      <w:r>
        <w:t>, which is all the</w:t>
      </w:r>
      <w:r w:rsidR="00C645E1">
        <w:t xml:space="preserve"> reactants.  </w:t>
      </w:r>
      <w:r>
        <w:t>The negative sign ensures that the exponents in the resulting rate equation are positive, as they are in (</w:t>
      </w:r>
      <w:r w:rsidR="00CE6FBB">
        <w:t>11</w:t>
      </w:r>
      <w:r>
        <w:t xml:space="preserve">).    </w:t>
      </w:r>
    </w:p>
    <w:p w:rsidR="00C510E3" w:rsidRDefault="00C510E3" w:rsidP="00A04D9E">
      <w:pPr>
        <w:ind w:firstLine="0"/>
      </w:pPr>
      <w:r>
        <w:t xml:space="preserve">Many reactions are reversible, so there will be a </w:t>
      </w:r>
      <w:r w:rsidR="003B6033">
        <w:t>backward</w:t>
      </w:r>
      <w:r>
        <w:t xml:space="preserve"> reaction that proceeds at a rate that depends on the concentrations of the products.  The </w:t>
      </w:r>
      <w:r w:rsidR="003B6033">
        <w:t>backward</w:t>
      </w:r>
      <w:r>
        <w:t xml:space="preserve"> reaction would cause reactants to be produced from products when the concentration of the products is large.  In this case, the rate for </w:t>
      </w:r>
      <w:r w:rsidR="003B6033">
        <w:t>backward</w:t>
      </w:r>
      <w:r>
        <w:t xml:space="preserve"> reaction in the example is</w:t>
      </w:r>
    </w:p>
    <w:p w:rsidR="00C645E1" w:rsidRDefault="00C510E3" w:rsidP="006F04F3">
      <w:pPr>
        <w:pStyle w:val="EQ"/>
      </w:pPr>
      <w:r>
        <w:t xml:space="preserve">  </w:t>
      </w:r>
      <w:r w:rsidR="006F04F3">
        <w:tab/>
      </w:r>
      <w:r w:rsidR="003B6033" w:rsidRPr="00C645E1">
        <w:rPr>
          <w:position w:val="-12"/>
        </w:rPr>
        <w:object w:dxaOrig="880" w:dyaOrig="380">
          <v:shape id="_x0000_i1036" type="#_x0000_t75" style="width:44.5pt;height:19pt" o:ole="">
            <v:imagedata r:id="rId33" o:title=""/>
          </v:shape>
          <o:OLEObject Type="Embed" ProgID="Equation.DSMT4" ShapeID="_x0000_i1036" DrawAspect="Content" ObjectID="_1491237315" r:id="rId34"/>
        </w:object>
      </w:r>
      <w:r w:rsidR="006F04F3">
        <w:tab/>
        <w:t>(12)</w:t>
      </w:r>
    </w:p>
    <w:p w:rsidR="00C510E3" w:rsidRDefault="00C510E3" w:rsidP="00A04D9E">
      <w:pPr>
        <w:ind w:firstLine="0"/>
      </w:pPr>
      <w:r>
        <w:lastRenderedPageBreak/>
        <w:t>which using the general notation is</w:t>
      </w:r>
    </w:p>
    <w:p w:rsidR="00C645E1" w:rsidRDefault="006F04F3" w:rsidP="006F04F3">
      <w:pPr>
        <w:pStyle w:val="EQ"/>
      </w:pPr>
      <w:r>
        <w:tab/>
      </w:r>
      <w:r w:rsidR="003B6033" w:rsidRPr="00C645E1">
        <w:rPr>
          <w:position w:val="-32"/>
        </w:rPr>
        <w:object w:dxaOrig="1340" w:dyaOrig="720">
          <v:shape id="_x0000_i1037" type="#_x0000_t75" style="width:66.5pt;height:36pt" o:ole="">
            <v:imagedata r:id="rId35" o:title=""/>
          </v:shape>
          <o:OLEObject Type="Embed" ProgID="Equation.DSMT4" ShapeID="_x0000_i1037" DrawAspect="Content" ObjectID="_1491237316" r:id="rId36"/>
        </w:object>
      </w:r>
      <w:r>
        <w:tab/>
        <w:t>(13)</w:t>
      </w:r>
    </w:p>
    <w:p w:rsidR="003B6033" w:rsidRDefault="003B6033" w:rsidP="00A04D9E">
      <w:pPr>
        <w:ind w:firstLine="0"/>
      </w:pPr>
      <w:r>
        <w:t>The overall rate of the reaction is the difference between the forward and backward rates</w:t>
      </w:r>
    </w:p>
    <w:p w:rsidR="003B6033" w:rsidRDefault="006F04F3" w:rsidP="006F04F3">
      <w:pPr>
        <w:pStyle w:val="EQ"/>
      </w:pPr>
      <w:r>
        <w:tab/>
      </w:r>
      <w:r w:rsidR="00822277" w:rsidRPr="00C645E1">
        <w:rPr>
          <w:position w:val="-32"/>
        </w:rPr>
        <w:object w:dxaOrig="2600" w:dyaOrig="720">
          <v:shape id="_x0000_i1038" type="#_x0000_t75" style="width:129.5pt;height:36pt" o:ole="">
            <v:imagedata r:id="rId37" o:title=""/>
          </v:shape>
          <o:OLEObject Type="Embed" ProgID="Equation.DSMT4" ShapeID="_x0000_i1038" DrawAspect="Content" ObjectID="_1491237317" r:id="rId38"/>
        </w:object>
      </w:r>
      <w:r>
        <w:tab/>
        <w:t>(14)</w:t>
      </w:r>
    </w:p>
    <w:p w:rsidR="003B6033" w:rsidRDefault="003B6033" w:rsidP="00A04D9E">
      <w:pPr>
        <w:ind w:firstLine="0"/>
      </w:pPr>
      <w:r>
        <w:t>Factoring out the first term</w:t>
      </w:r>
    </w:p>
    <w:p w:rsidR="003B6033" w:rsidRDefault="006F04F3" w:rsidP="006F04F3">
      <w:pPr>
        <w:pStyle w:val="EQ"/>
      </w:pPr>
      <w:r>
        <w:tab/>
      </w:r>
      <w:r w:rsidR="00822277" w:rsidRPr="003B6033">
        <w:rPr>
          <w:position w:val="-66"/>
        </w:rPr>
        <w:object w:dxaOrig="3080" w:dyaOrig="1440">
          <v:shape id="_x0000_i1039" type="#_x0000_t75" style="width:153.5pt;height:1in" o:ole="">
            <v:imagedata r:id="rId39" o:title=""/>
          </v:shape>
          <o:OLEObject Type="Embed" ProgID="Equation.DSMT4" ShapeID="_x0000_i1039" DrawAspect="Content" ObjectID="_1491237318" r:id="rId40"/>
        </w:object>
      </w:r>
      <w:r>
        <w:tab/>
        <w:t>(15)</w:t>
      </w:r>
    </w:p>
    <w:p w:rsidR="006F04F3" w:rsidRDefault="006F04F3" w:rsidP="00A04D9E">
      <w:pPr>
        <w:ind w:firstLine="0"/>
      </w:pPr>
      <w:r>
        <w:t>Equilibrium occurs when the reaction rate goes to zero, which according to (14) occurs when</w:t>
      </w:r>
    </w:p>
    <w:p w:rsidR="006F04F3" w:rsidRDefault="00CE6FBB" w:rsidP="00CE6FBB">
      <w:pPr>
        <w:pStyle w:val="EQ"/>
      </w:pPr>
      <w:r>
        <w:tab/>
      </w:r>
      <w:r w:rsidR="006F04F3" w:rsidRPr="00C645E1">
        <w:rPr>
          <w:position w:val="-32"/>
        </w:rPr>
        <w:object w:dxaOrig="2160" w:dyaOrig="720">
          <v:shape id="_x0000_i1040" type="#_x0000_t75" style="width:108pt;height:36pt" o:ole="">
            <v:imagedata r:id="rId41" o:title=""/>
          </v:shape>
          <o:OLEObject Type="Embed" ProgID="Equation.DSMT4" ShapeID="_x0000_i1040" DrawAspect="Content" ObjectID="_1491237319" r:id="rId42"/>
        </w:object>
      </w:r>
      <w:r>
        <w:tab/>
        <w:t>(16)</w:t>
      </w:r>
    </w:p>
    <w:p w:rsidR="006F04F3" w:rsidRDefault="006F04F3" w:rsidP="00A04D9E">
      <w:pPr>
        <w:ind w:firstLine="0"/>
      </w:pPr>
      <w:r>
        <w:t>And then rearranging</w:t>
      </w:r>
    </w:p>
    <w:p w:rsidR="006F04F3" w:rsidRDefault="00CE6FBB" w:rsidP="00CE6FBB">
      <w:pPr>
        <w:pStyle w:val="EQ"/>
      </w:pPr>
      <w:r>
        <w:tab/>
      </w:r>
      <w:r w:rsidR="006F04F3" w:rsidRPr="006F04F3">
        <w:rPr>
          <w:position w:val="-64"/>
        </w:rPr>
        <w:object w:dxaOrig="1359" w:dyaOrig="1400">
          <v:shape id="_x0000_i1041" type="#_x0000_t75" style="width:68pt;height:69.5pt" o:ole="">
            <v:imagedata r:id="rId43" o:title=""/>
          </v:shape>
          <o:OLEObject Type="Embed" ProgID="Equation.DSMT4" ShapeID="_x0000_i1041" DrawAspect="Content" ObjectID="_1491237320" r:id="rId44"/>
        </w:object>
      </w:r>
      <w:r>
        <w:tab/>
        <w:t>(17)</w:t>
      </w:r>
    </w:p>
    <w:p w:rsidR="00CE6FBB" w:rsidRDefault="00CE6FBB" w:rsidP="00A04D9E">
      <w:pPr>
        <w:ind w:firstLine="0"/>
      </w:pPr>
      <w:r>
        <w:t xml:space="preserve">But the right hand side of (17) is equivalent to the equilibrium constant, according to (11).  So </w:t>
      </w:r>
    </w:p>
    <w:p w:rsidR="00C510E3" w:rsidRDefault="00CE6FBB" w:rsidP="00CE6FBB">
      <w:pPr>
        <w:pStyle w:val="EQ"/>
      </w:pPr>
      <w:r>
        <w:tab/>
      </w:r>
      <w:r w:rsidRPr="006F04F3">
        <w:rPr>
          <w:position w:val="-64"/>
        </w:rPr>
        <w:object w:dxaOrig="1800" w:dyaOrig="1400">
          <v:shape id="_x0000_i1042" type="#_x0000_t75" style="width:90pt;height:69.5pt" o:ole="">
            <v:imagedata r:id="rId45" o:title=""/>
          </v:shape>
          <o:OLEObject Type="Embed" ProgID="Equation.DSMT4" ShapeID="_x0000_i1042" DrawAspect="Content" ObjectID="_1491237321" r:id="rId46"/>
        </w:object>
      </w:r>
      <w:r>
        <w:tab/>
        <w:t>(18)</w:t>
      </w:r>
    </w:p>
    <w:p w:rsidR="00CE6FBB" w:rsidRDefault="00CE6FBB" w:rsidP="00CE6FBB">
      <w:pPr>
        <w:pStyle w:val="EQ"/>
      </w:pPr>
      <w:r>
        <w:t>According to (18) and (9), we can rewrite (15) to get a general expression for the reaction kinetics of a simple, homogeneous reaction</w:t>
      </w:r>
    </w:p>
    <w:p w:rsidR="00CE6FBB" w:rsidRDefault="00CE6FBB" w:rsidP="00CE6FBB">
      <w:pPr>
        <w:pStyle w:val="EQ"/>
      </w:pPr>
      <w:r>
        <w:tab/>
        <w:t xml:space="preserve"> </w:t>
      </w:r>
      <w:r w:rsidR="004862F4" w:rsidRPr="00CE6FBB">
        <w:rPr>
          <w:position w:val="-32"/>
        </w:rPr>
        <w:object w:dxaOrig="2299" w:dyaOrig="720">
          <v:shape id="_x0000_i1043" type="#_x0000_t75" style="width:114.5pt;height:36pt" o:ole="">
            <v:imagedata r:id="rId47" o:title=""/>
          </v:shape>
          <o:OLEObject Type="Embed" ProgID="Equation.DSMT4" ShapeID="_x0000_i1043" DrawAspect="Content" ObjectID="_1491237322" r:id="rId48"/>
        </w:object>
      </w:r>
      <w:r>
        <w:tab/>
        <w:t>(19)</w:t>
      </w:r>
    </w:p>
    <w:p w:rsidR="00CE6FBB" w:rsidRDefault="00A04D9E" w:rsidP="00A04D9E">
      <w:pPr>
        <w:ind w:firstLine="0"/>
      </w:pPr>
      <w:r>
        <w:lastRenderedPageBreak/>
        <w:t xml:space="preserve">The exponents </w:t>
      </w:r>
      <w:r w:rsidR="00CE6FBB" w:rsidRPr="00CE6FBB">
        <w:rPr>
          <w:rFonts w:ascii="Symbol" w:hAnsi="Symbol"/>
        </w:rPr>
        <w:t></w:t>
      </w:r>
      <w:r w:rsidRPr="00CE6FBB">
        <w:rPr>
          <w:vertAlign w:val="subscript"/>
        </w:rPr>
        <w:t>i</w:t>
      </w:r>
      <w:r>
        <w:t xml:space="preserve"> are commonly the stoichiometric constant</w:t>
      </w:r>
      <w:r w:rsidR="00CE6FBB">
        <w:t>s</w:t>
      </w:r>
      <w:r>
        <w:t xml:space="preserve"> in the reaction equation, but this is not always the case and in general they are determined experimentally</w:t>
      </w:r>
      <w:r w:rsidR="009B041E">
        <w:t>, according to Houston [2001]</w:t>
      </w:r>
      <w:r>
        <w:t>.</w:t>
      </w:r>
    </w:p>
    <w:p w:rsidR="00CE6FBB" w:rsidRDefault="00CE6FBB" w:rsidP="00CE6FBB">
      <w:pPr>
        <w:pStyle w:val="Heading3"/>
      </w:pPr>
      <w:r>
        <w:t>Implementation</w:t>
      </w:r>
    </w:p>
    <w:p w:rsidR="00822277" w:rsidRDefault="00822277" w:rsidP="00A04D9E">
      <w:pPr>
        <w:ind w:firstLine="0"/>
      </w:pPr>
      <w:r>
        <w:t xml:space="preserve">Implementing the reaction rate is done by relating </w:t>
      </w:r>
      <w:r w:rsidRPr="00822277">
        <w:rPr>
          <w:rFonts w:ascii="ESSTIXThirteen" w:hAnsi="ESSTIXThirteen"/>
        </w:rPr>
        <w:t>R</w:t>
      </w:r>
      <w:r>
        <w:t xml:space="preserve"> to the rate of change of particular species, as in (3).  Using the notation developed above</w:t>
      </w:r>
    </w:p>
    <w:p w:rsidR="00822277" w:rsidRDefault="004862F4" w:rsidP="004862F4">
      <w:pPr>
        <w:pStyle w:val="EQ"/>
      </w:pPr>
      <w:r>
        <w:tab/>
      </w:r>
      <w:r w:rsidRPr="00822277">
        <w:rPr>
          <w:position w:val="-24"/>
        </w:rPr>
        <w:object w:dxaOrig="1020" w:dyaOrig="620">
          <v:shape id="_x0000_i1044" type="#_x0000_t75" style="width:51pt;height:31pt" o:ole="">
            <v:imagedata r:id="rId49" o:title=""/>
          </v:shape>
          <o:OLEObject Type="Embed" ProgID="Equation.DSMT4" ShapeID="_x0000_i1044" DrawAspect="Content" ObjectID="_1491237323" r:id="rId50"/>
        </w:object>
      </w:r>
      <w:r>
        <w:tab/>
        <w:t>(20)</w:t>
      </w:r>
    </w:p>
    <w:p w:rsidR="00CE6FBB" w:rsidRDefault="00822277" w:rsidP="00A04D9E">
      <w:pPr>
        <w:ind w:firstLine="0"/>
      </w:pPr>
      <w:r>
        <w:t xml:space="preserve"> Keep in mind that </w:t>
      </w:r>
      <w:r w:rsidRPr="00822277">
        <w:rPr>
          <w:rFonts w:ascii="Symbol" w:hAnsi="Symbol"/>
        </w:rPr>
        <w:t></w:t>
      </w:r>
      <w:r>
        <w:t xml:space="preserve"> for reactants is negative, so </w:t>
      </w:r>
      <w:r w:rsidR="004862F4">
        <w:t>the rates for the example in (6) through (8) is</w:t>
      </w:r>
      <w:r>
        <w:t xml:space="preserve"> </w:t>
      </w:r>
    </w:p>
    <w:p w:rsidR="00822277" w:rsidRDefault="004862F4" w:rsidP="004862F4">
      <w:pPr>
        <w:pStyle w:val="EQ"/>
      </w:pPr>
      <w:r>
        <w:tab/>
      </w:r>
      <w:r w:rsidRPr="00822277">
        <w:rPr>
          <w:position w:val="-88"/>
        </w:rPr>
        <w:object w:dxaOrig="1140" w:dyaOrig="1900">
          <v:shape id="_x0000_i1045" type="#_x0000_t75" style="width:57pt;height:95.5pt" o:ole="">
            <v:imagedata r:id="rId51" o:title=""/>
          </v:shape>
          <o:OLEObject Type="Embed" ProgID="Equation.DSMT4" ShapeID="_x0000_i1045" DrawAspect="Content" ObjectID="_1491237324" r:id="rId52"/>
        </w:object>
      </w:r>
      <w:r>
        <w:tab/>
        <w:t>(21)</w:t>
      </w:r>
    </w:p>
    <w:p w:rsidR="00822277" w:rsidRDefault="004862F4" w:rsidP="00A04D9E">
      <w:pPr>
        <w:ind w:firstLine="0"/>
      </w:pPr>
      <w:r>
        <w:t>w</w:t>
      </w:r>
      <w:r w:rsidR="00822277">
        <w:t>hich i</w:t>
      </w:r>
      <w:r>
        <w:t xml:space="preserve">s consistent with (5).  We could use (21) in our model, but it will be useful to take a slower start and look at some simple examples that occur in many applications.    </w:t>
      </w:r>
    </w:p>
    <w:p w:rsidR="009B041E" w:rsidRDefault="00F21A62" w:rsidP="00F21A62">
      <w:pPr>
        <w:pStyle w:val="Heading3"/>
      </w:pPr>
      <w:r>
        <w:t xml:space="preserve">First and second-order </w:t>
      </w:r>
      <w:r w:rsidR="00EA5DF0">
        <w:t>reaction</w:t>
      </w:r>
      <w:r>
        <w:t>s</w:t>
      </w:r>
    </w:p>
    <w:p w:rsidR="009B041E" w:rsidRDefault="004862F4" w:rsidP="00A82B1A">
      <w:pPr>
        <w:ind w:firstLine="0"/>
      </w:pPr>
      <w:r>
        <w:t xml:space="preserve">Consider a simple reaction </w:t>
      </w:r>
    </w:p>
    <w:p w:rsidR="009B041E" w:rsidRDefault="009B041E" w:rsidP="00A82B1A">
      <w:pPr>
        <w:pStyle w:val="EQ"/>
        <w:rPr>
          <w:rFonts w:eastAsiaTheme="minorEastAsia"/>
        </w:rPr>
      </w:pPr>
      <w:r>
        <w:rPr>
          <w:rFonts w:eastAsiaTheme="minorEastAsia"/>
        </w:rPr>
        <w:tab/>
        <w:t>[</w:t>
      </w:r>
      <w:r w:rsidRPr="009B041E">
        <w:rPr>
          <w:rFonts w:eastAsiaTheme="minorEastAsia"/>
        </w:rPr>
        <w:t>A</w:t>
      </w:r>
      <w:r>
        <w:rPr>
          <w:rFonts w:eastAsiaTheme="minorEastAsia"/>
        </w:rPr>
        <w:t>]</w:t>
      </w:r>
      <w:r w:rsidRPr="009B041E">
        <w:rPr>
          <w:rFonts w:eastAsiaTheme="minorEastAsia" w:hAnsi="Wingdings"/>
        </w:rPr>
        <w:sym w:font="Wingdings" w:char="F0E0"/>
      </w:r>
      <w:r w:rsidRPr="009B041E">
        <w:rPr>
          <w:rFonts w:eastAsiaTheme="minorEastAsia"/>
        </w:rPr>
        <w:t>Products</w:t>
      </w:r>
      <w:r w:rsidR="004862F4">
        <w:rPr>
          <w:rFonts w:eastAsiaTheme="minorEastAsia"/>
        </w:rPr>
        <w:tab/>
        <w:t>(22</w:t>
      </w:r>
      <w:r>
        <w:rPr>
          <w:rFonts w:eastAsiaTheme="minorEastAsia"/>
        </w:rPr>
        <w:t>)</w:t>
      </w:r>
    </w:p>
    <w:p w:rsidR="009B041E" w:rsidRDefault="00E567EA" w:rsidP="00A82B1A">
      <w:pPr>
        <w:pStyle w:val="EQ"/>
        <w:rPr>
          <w:rFonts w:eastAsiaTheme="minorEastAsia"/>
        </w:rPr>
      </w:pPr>
      <w:r>
        <w:rPr>
          <w:noProof/>
        </w:rPr>
        <w:pict w14:anchorId="6B69D347">
          <v:shape id="Object 10" o:spid="_x0000_s1029" type="#_x0000_t75" style="position:absolute;margin-left:163.85pt;margin-top:18.9pt;width:95pt;height:31pt;z-index:251661312;visibility:visible">
            <v:imagedata r:id="rId53" o:title=""/>
          </v:shape>
          <o:OLEObject Type="Embed" ProgID="Equation.DSMT4" ShapeID="Object 10" DrawAspect="Content" ObjectID="_1491237365" r:id="rId54"/>
        </w:pict>
      </w:r>
      <w:r w:rsidR="004862F4">
        <w:rPr>
          <w:rFonts w:eastAsiaTheme="minorEastAsia"/>
        </w:rPr>
        <w:t xml:space="preserve">Radioactive decay is one example of this type of reaction.  According to (20), </w:t>
      </w:r>
    </w:p>
    <w:p w:rsidR="009B041E" w:rsidRDefault="004862F4" w:rsidP="00A82B1A">
      <w:pPr>
        <w:pStyle w:val="EQ"/>
        <w:rPr>
          <w:rFonts w:eastAsiaTheme="minorEastAsia"/>
        </w:rPr>
      </w:pPr>
      <w:r>
        <w:rPr>
          <w:rFonts w:eastAsiaTheme="minorEastAsia"/>
        </w:rPr>
        <w:tab/>
      </w:r>
      <w:r>
        <w:rPr>
          <w:rFonts w:eastAsiaTheme="minorEastAsia"/>
        </w:rPr>
        <w:tab/>
        <w:t>(23</w:t>
      </w:r>
      <w:r w:rsidR="00DE796A">
        <w:rPr>
          <w:rFonts w:eastAsiaTheme="minorEastAsia"/>
        </w:rPr>
        <w:t>)</w:t>
      </w:r>
    </w:p>
    <w:p w:rsidR="004862F4" w:rsidRDefault="004862F4" w:rsidP="00A82B1A">
      <w:pPr>
        <w:pStyle w:val="EQ"/>
        <w:rPr>
          <w:rFonts w:eastAsiaTheme="minorEastAsia"/>
        </w:rPr>
      </w:pPr>
      <w:r>
        <w:rPr>
          <w:rFonts w:eastAsiaTheme="minorEastAsia"/>
        </w:rPr>
        <w:t>And then from (19)</w:t>
      </w:r>
    </w:p>
    <w:p w:rsidR="00DE796A" w:rsidRDefault="004862F4" w:rsidP="00A82B1A">
      <w:pPr>
        <w:pStyle w:val="EQ"/>
        <w:rPr>
          <w:rFonts w:eastAsiaTheme="minorEastAsia"/>
        </w:rPr>
      </w:pPr>
      <w:r>
        <w:tab/>
      </w:r>
      <w:r w:rsidRPr="00CE6FBB">
        <w:rPr>
          <w:position w:val="-32"/>
        </w:rPr>
        <w:object w:dxaOrig="3879" w:dyaOrig="720">
          <v:shape id="_x0000_i1046" type="#_x0000_t75" style="width:194.5pt;height:36pt" o:ole="">
            <v:imagedata r:id="rId55" o:title=""/>
          </v:shape>
          <o:OLEObject Type="Embed" ProgID="Equation.DSMT4" ShapeID="_x0000_i1046" DrawAspect="Content" ObjectID="_1491237325" r:id="rId56"/>
        </w:object>
      </w:r>
      <w:r>
        <w:tab/>
        <w:t>(24)</w:t>
      </w:r>
    </w:p>
    <w:p w:rsidR="009B041E" w:rsidRDefault="00E567EA" w:rsidP="00A82B1A">
      <w:pPr>
        <w:pStyle w:val="EQ"/>
        <w:rPr>
          <w:rFonts w:eastAsiaTheme="minorEastAsia"/>
        </w:rPr>
      </w:pPr>
      <w:r>
        <w:rPr>
          <w:rFonts w:eastAsiaTheme="minorEastAsia"/>
          <w:noProof/>
        </w:rPr>
        <w:pict w14:anchorId="63AF2581">
          <v:shape id="Object 11" o:spid="_x0000_s1035" type="#_x0000_t75" style="position:absolute;margin-left:198.85pt;margin-top:52.3pt;width:59pt;height:31pt;z-index:251666432;visibility:visible">
            <v:imagedata r:id="rId57" o:title=""/>
          </v:shape>
          <o:OLEObject Type="Embed" ProgID="Equation.DSMT4" ShapeID="Object 11" DrawAspect="Content" ObjectID="_1491237366" r:id="rId58"/>
        </w:pict>
      </w:r>
      <w:r w:rsidR="004862F4">
        <w:rPr>
          <w:rFonts w:eastAsiaTheme="minorEastAsia"/>
        </w:rPr>
        <w:t xml:space="preserve">Now, we will assume the reaction is far from equilibrium.  This would happen, for example, when </w:t>
      </w:r>
      <w:r w:rsidR="004862F4" w:rsidRPr="00DF49CA">
        <w:rPr>
          <w:rFonts w:eastAsiaTheme="minorEastAsia"/>
          <w:i/>
        </w:rPr>
        <w:t>A</w:t>
      </w:r>
      <w:r w:rsidR="004862F4">
        <w:rPr>
          <w:rFonts w:eastAsiaTheme="minorEastAsia"/>
        </w:rPr>
        <w:t xml:space="preserve"> is abundant relative to the products.  In this case, </w:t>
      </w:r>
      <w:r w:rsidR="004862F4" w:rsidRPr="00DF49CA">
        <w:rPr>
          <w:rFonts w:eastAsiaTheme="minorEastAsia"/>
          <w:i/>
        </w:rPr>
        <w:t>Q</w:t>
      </w:r>
      <w:r w:rsidR="004862F4">
        <w:rPr>
          <w:rFonts w:eastAsiaTheme="minorEastAsia"/>
        </w:rPr>
        <w:t>&lt;&lt;</w:t>
      </w:r>
      <w:r w:rsidR="004862F4" w:rsidRPr="00DF49CA">
        <w:rPr>
          <w:rFonts w:eastAsiaTheme="minorEastAsia"/>
          <w:i/>
        </w:rPr>
        <w:t>K</w:t>
      </w:r>
      <w:r w:rsidR="004862F4">
        <w:rPr>
          <w:rFonts w:eastAsiaTheme="minorEastAsia"/>
        </w:rPr>
        <w:t xml:space="preserve"> and the term in parentheses is equal to unity.  Substituting into (23) gives  </w:t>
      </w:r>
    </w:p>
    <w:p w:rsidR="009B041E" w:rsidRDefault="009B041E" w:rsidP="00A82B1A">
      <w:pPr>
        <w:pStyle w:val="EQ"/>
        <w:rPr>
          <w:rFonts w:eastAsiaTheme="minorEastAsia"/>
        </w:rPr>
      </w:pPr>
    </w:p>
    <w:p w:rsidR="00DE796A" w:rsidRDefault="00DE796A" w:rsidP="00A82B1A">
      <w:pPr>
        <w:pStyle w:val="EQ"/>
        <w:rPr>
          <w:rFonts w:eastAsiaTheme="minorEastAsia"/>
        </w:rPr>
      </w:pPr>
      <w:r>
        <w:rPr>
          <w:rFonts w:eastAsiaTheme="minorEastAsia"/>
        </w:rPr>
        <w:tab/>
      </w:r>
      <w:r>
        <w:rPr>
          <w:rFonts w:eastAsiaTheme="minorEastAsia"/>
        </w:rPr>
        <w:tab/>
      </w:r>
      <w:r w:rsidR="00E77AF3">
        <w:rPr>
          <w:rFonts w:eastAsiaTheme="minorEastAsia"/>
        </w:rPr>
        <w:t>(25</w:t>
      </w:r>
      <w:r>
        <w:rPr>
          <w:rFonts w:eastAsiaTheme="minorEastAsia"/>
        </w:rPr>
        <w:t>)</w:t>
      </w:r>
    </w:p>
    <w:p w:rsidR="00111BB4" w:rsidRDefault="00DE796A" w:rsidP="00A82B1A">
      <w:pPr>
        <w:pStyle w:val="EQ"/>
        <w:rPr>
          <w:rFonts w:eastAsiaTheme="minorEastAsia"/>
        </w:rPr>
      </w:pPr>
      <w:r>
        <w:rPr>
          <w:rFonts w:eastAsiaTheme="minorEastAsia"/>
        </w:rPr>
        <w:lastRenderedPageBreak/>
        <w:t>where the square brackets are</w:t>
      </w:r>
      <w:r w:rsidR="00F84065">
        <w:rPr>
          <w:rFonts w:eastAsiaTheme="minorEastAsia"/>
        </w:rPr>
        <w:t xml:space="preserve"> dropped for convenience.</w:t>
      </w:r>
      <w:r w:rsidR="00E77AF3">
        <w:rPr>
          <w:rFonts w:eastAsiaTheme="minorEastAsia"/>
        </w:rPr>
        <w:t xml:space="preserve">  Eq (25</w:t>
      </w:r>
      <w:r>
        <w:rPr>
          <w:rFonts w:eastAsiaTheme="minorEastAsia"/>
        </w:rPr>
        <w:t>) is a</w:t>
      </w:r>
      <w:r w:rsidR="00F21A62">
        <w:rPr>
          <w:rFonts w:eastAsiaTheme="minorEastAsia"/>
        </w:rPr>
        <w:t xml:space="preserve"> called a</w:t>
      </w:r>
      <w:r>
        <w:rPr>
          <w:rFonts w:eastAsiaTheme="minorEastAsia"/>
        </w:rPr>
        <w:t xml:space="preserve"> </w:t>
      </w:r>
      <w:r w:rsidRPr="00F21A62">
        <w:rPr>
          <w:rFonts w:eastAsiaTheme="minorEastAsia"/>
          <w:i/>
        </w:rPr>
        <w:t>first-order</w:t>
      </w:r>
      <w:r>
        <w:rPr>
          <w:rFonts w:eastAsiaTheme="minorEastAsia"/>
        </w:rPr>
        <w:t xml:space="preserve"> reaction in </w:t>
      </w:r>
      <w:r w:rsidRPr="00DE796A">
        <w:rPr>
          <w:rFonts w:eastAsiaTheme="minorEastAsia"/>
          <w:i/>
        </w:rPr>
        <w:t>A</w:t>
      </w:r>
      <w:r w:rsidR="00F21A62">
        <w:rPr>
          <w:rFonts w:eastAsiaTheme="minorEastAsia"/>
        </w:rPr>
        <w:t xml:space="preserve"> because </w:t>
      </w:r>
      <w:r w:rsidR="00F21A62" w:rsidRPr="00F21A62">
        <w:rPr>
          <w:rFonts w:eastAsiaTheme="minorEastAsia"/>
          <w:i/>
        </w:rPr>
        <w:t>A</w:t>
      </w:r>
      <w:r w:rsidR="00F21A62">
        <w:rPr>
          <w:rFonts w:eastAsiaTheme="minorEastAsia"/>
        </w:rPr>
        <w:t xml:space="preserve"> on the right side is raised to a power 1.</w:t>
      </w:r>
      <w:r w:rsidR="00F84065">
        <w:rPr>
          <w:rFonts w:eastAsiaTheme="minorEastAsia"/>
        </w:rPr>
        <w:t xml:space="preserve">  </w:t>
      </w:r>
      <w:r w:rsidR="00F84065" w:rsidRPr="00F84065">
        <w:rPr>
          <w:rFonts w:eastAsiaTheme="minorEastAsia"/>
          <w:i/>
        </w:rPr>
        <w:t>k</w:t>
      </w:r>
      <w:r w:rsidR="00F84065" w:rsidRPr="00F84065">
        <w:rPr>
          <w:rFonts w:eastAsiaTheme="minorEastAsia"/>
          <w:vertAlign w:val="subscript"/>
        </w:rPr>
        <w:t>f1</w:t>
      </w:r>
      <w:r w:rsidR="00F84065">
        <w:rPr>
          <w:rFonts w:eastAsiaTheme="minorEastAsia"/>
        </w:rPr>
        <w:t xml:space="preserve"> is the first-order forward reaction rate constant. </w:t>
      </w:r>
      <w:r w:rsidR="00F21A62">
        <w:rPr>
          <w:rFonts w:eastAsiaTheme="minorEastAsia"/>
        </w:rPr>
        <w:t xml:space="preserve"> </w:t>
      </w:r>
    </w:p>
    <w:p w:rsidR="00DF49CA" w:rsidRDefault="00E567EA" w:rsidP="00DF49CA">
      <w:pPr>
        <w:pStyle w:val="EQ"/>
        <w:rPr>
          <w:rFonts w:eastAsiaTheme="minorEastAsia"/>
        </w:rPr>
      </w:pPr>
      <w:r>
        <w:rPr>
          <w:rFonts w:eastAsiaTheme="minorEastAsia"/>
          <w:noProof/>
        </w:rPr>
        <w:pict w14:anchorId="63AF2581">
          <v:shape id="_x0000_s1085" type="#_x0000_t75" style="position:absolute;margin-left:207.85pt;margin-top:11.7pt;width:53pt;height:31pt;z-index:251669504;visibility:visible">
            <v:imagedata r:id="rId59" o:title=""/>
          </v:shape>
          <o:OLEObject Type="Embed" ProgID="Equation.DSMT4" ShapeID="_x0000_s1085" DrawAspect="Content" ObjectID="_1491237367" r:id="rId60"/>
        </w:pict>
      </w:r>
      <w:r w:rsidR="00A82B1A">
        <w:rPr>
          <w:rFonts w:eastAsiaTheme="minorEastAsia"/>
        </w:rPr>
        <w:t xml:space="preserve"> </w:t>
      </w:r>
      <w:r w:rsidR="00DF49CA">
        <w:rPr>
          <w:rFonts w:eastAsiaTheme="minorEastAsia"/>
        </w:rPr>
        <w:t>We also get from (20)</w:t>
      </w:r>
    </w:p>
    <w:p w:rsidR="00111BB4" w:rsidRDefault="00216733" w:rsidP="00A82B1A">
      <w:pPr>
        <w:pStyle w:val="EQ"/>
        <w:rPr>
          <w:rFonts w:eastAsiaTheme="minorEastAsia"/>
        </w:rPr>
      </w:pPr>
      <w:r>
        <w:rPr>
          <w:rFonts w:eastAsiaTheme="minorEastAsia"/>
        </w:rPr>
        <w:tab/>
      </w:r>
      <w:r w:rsidRPr="00216733">
        <w:rPr>
          <w:rFonts w:eastAsiaTheme="minorEastAsia"/>
          <w:position w:val="-4"/>
        </w:rPr>
        <w:object w:dxaOrig="180" w:dyaOrig="279">
          <v:shape id="_x0000_i1047" type="#_x0000_t75" style="width:9pt;height:14.5pt" o:ole="">
            <v:imagedata r:id="rId61" o:title=""/>
          </v:shape>
          <o:OLEObject Type="Embed" ProgID="Equation.DSMT4" ShapeID="_x0000_i1047" DrawAspect="Content" ObjectID="_1491237326" r:id="rId62"/>
        </w:object>
      </w:r>
    </w:p>
    <w:p w:rsidR="00111BB4" w:rsidRDefault="00DF49CA" w:rsidP="00A82B1A">
      <w:pPr>
        <w:pStyle w:val="EQ"/>
        <w:rPr>
          <w:rFonts w:eastAsiaTheme="minorEastAsia"/>
        </w:rPr>
      </w:pPr>
      <w:r>
        <w:rPr>
          <w:rFonts w:eastAsiaTheme="minorEastAsia"/>
        </w:rPr>
        <w:t xml:space="preserve">but </w:t>
      </w:r>
      <w:r w:rsidRPr="00DF49CA">
        <w:rPr>
          <w:rFonts w:eastAsiaTheme="minorEastAsia"/>
          <w:i/>
        </w:rPr>
        <w:t>P</w:t>
      </w:r>
      <w:r>
        <w:rPr>
          <w:rFonts w:eastAsiaTheme="minorEastAsia"/>
        </w:rPr>
        <w:t>=</w:t>
      </w:r>
      <w:r w:rsidRPr="00DF49CA">
        <w:rPr>
          <w:rFonts w:eastAsiaTheme="minorEastAsia"/>
          <w:i/>
        </w:rPr>
        <w:t>A</w:t>
      </w:r>
      <w:r w:rsidRPr="00DF49CA">
        <w:rPr>
          <w:rFonts w:eastAsiaTheme="minorEastAsia"/>
          <w:vertAlign w:val="subscript"/>
        </w:rPr>
        <w:t>0</w:t>
      </w:r>
      <w:r>
        <w:rPr>
          <w:rFonts w:eastAsiaTheme="minorEastAsia"/>
        </w:rPr>
        <w:t>-</w:t>
      </w:r>
      <w:r w:rsidRPr="00DF49CA">
        <w:rPr>
          <w:rFonts w:eastAsiaTheme="minorEastAsia"/>
          <w:i/>
        </w:rPr>
        <w:t>A</w:t>
      </w:r>
      <w:r>
        <w:rPr>
          <w:rFonts w:eastAsiaTheme="minorEastAsia"/>
          <w:i/>
        </w:rPr>
        <w:t xml:space="preserve">, </w:t>
      </w:r>
      <w:r>
        <w:rPr>
          <w:rFonts w:eastAsiaTheme="minorEastAsia"/>
        </w:rPr>
        <w:t xml:space="preserve">so </w:t>
      </w:r>
      <w:r w:rsidRPr="00DF49CA">
        <w:rPr>
          <w:rFonts w:eastAsiaTheme="minorEastAsia"/>
          <w:i/>
        </w:rPr>
        <w:t>A</w:t>
      </w:r>
      <w:r>
        <w:rPr>
          <w:rFonts w:eastAsiaTheme="minorEastAsia"/>
          <w:i/>
        </w:rPr>
        <w:t>=</w:t>
      </w:r>
      <w:r w:rsidRPr="00DF49CA">
        <w:rPr>
          <w:rFonts w:eastAsiaTheme="minorEastAsia"/>
          <w:i/>
        </w:rPr>
        <w:t>A</w:t>
      </w:r>
      <w:r w:rsidRPr="00DF49CA">
        <w:rPr>
          <w:rFonts w:eastAsiaTheme="minorEastAsia"/>
          <w:vertAlign w:val="subscript"/>
        </w:rPr>
        <w:t>0</w:t>
      </w:r>
      <w:r w:rsidRPr="00DF49CA">
        <w:rPr>
          <w:rFonts w:eastAsiaTheme="minorEastAsia"/>
        </w:rPr>
        <w:t>-</w:t>
      </w:r>
      <w:r w:rsidRPr="00DF49CA">
        <w:rPr>
          <w:rFonts w:eastAsiaTheme="minorEastAsia"/>
          <w:i/>
        </w:rPr>
        <w:t>P</w:t>
      </w:r>
      <w:r>
        <w:rPr>
          <w:rFonts w:eastAsiaTheme="minorEastAsia"/>
          <w:i/>
        </w:rPr>
        <w:t xml:space="preserve"> </w:t>
      </w:r>
      <w:r w:rsidR="00E567EA">
        <w:rPr>
          <w:rFonts w:eastAsiaTheme="minorEastAsia"/>
          <w:noProof/>
        </w:rPr>
        <w:pict w14:anchorId="63AF2581">
          <v:shape id="_x0000_s1036" type="#_x0000_t75" style="position:absolute;margin-left:157.6pt;margin-top:37.85pt;width:87.1pt;height:31pt;z-index:251667456;visibility:visible;mso-position-horizontal-relative:text;mso-position-vertical-relative:text">
            <v:imagedata r:id="rId63" o:title=""/>
          </v:shape>
          <o:OLEObject Type="Embed" ProgID="Equation.DSMT4" ShapeID="_x0000_s1036" DrawAspect="Content" ObjectID="_1491237368" r:id="rId64"/>
        </w:pict>
      </w:r>
      <w:r w:rsidR="00111BB4">
        <w:rPr>
          <w:rFonts w:eastAsiaTheme="minorEastAsia"/>
        </w:rPr>
        <w:t xml:space="preserve">where </w:t>
      </w:r>
      <w:r w:rsidR="00407EA8">
        <w:rPr>
          <w:rFonts w:eastAsiaTheme="minorEastAsia"/>
        </w:rPr>
        <w:t xml:space="preserve">the initial concentration of </w:t>
      </w:r>
      <w:r w:rsidR="00407EA8" w:rsidRPr="00DF49CA">
        <w:rPr>
          <w:rFonts w:eastAsiaTheme="minorEastAsia"/>
          <w:i/>
        </w:rPr>
        <w:t>A</w:t>
      </w:r>
      <w:r w:rsidR="00407EA8">
        <w:rPr>
          <w:rFonts w:eastAsiaTheme="minorEastAsia"/>
        </w:rPr>
        <w:t xml:space="preserve"> is A</w:t>
      </w:r>
      <w:r w:rsidR="00407EA8" w:rsidRPr="00407EA8">
        <w:rPr>
          <w:rFonts w:eastAsiaTheme="minorEastAsia"/>
          <w:vertAlign w:val="subscript"/>
        </w:rPr>
        <w:t>0</w:t>
      </w:r>
      <w:r w:rsidR="00B260EC">
        <w:rPr>
          <w:rFonts w:eastAsiaTheme="minorEastAsia"/>
          <w:vertAlign w:val="subscript"/>
        </w:rPr>
        <w:t xml:space="preserve">, </w:t>
      </w:r>
      <w:r w:rsidR="00B260EC" w:rsidRPr="00DF49CA">
        <w:rPr>
          <w:rFonts w:eastAsiaTheme="minorEastAsia"/>
          <w:i/>
        </w:rPr>
        <w:t>A</w:t>
      </w:r>
      <w:r w:rsidR="00B260EC">
        <w:rPr>
          <w:rFonts w:eastAsiaTheme="minorEastAsia"/>
        </w:rPr>
        <w:t>(0)=0</w:t>
      </w:r>
      <w:r w:rsidR="00407EA8">
        <w:rPr>
          <w:rFonts w:eastAsiaTheme="minorEastAsia"/>
        </w:rPr>
        <w:t>.  We also assumed</w:t>
      </w:r>
      <w:r w:rsidR="00111BB4">
        <w:rPr>
          <w:rFonts w:eastAsiaTheme="minorEastAsia"/>
        </w:rPr>
        <w:t xml:space="preserve"> </w:t>
      </w:r>
      <w:r w:rsidR="00111BB4" w:rsidRPr="00111BB4">
        <w:rPr>
          <w:rFonts w:eastAsiaTheme="minorEastAsia"/>
          <w:i/>
        </w:rPr>
        <w:t>P</w:t>
      </w:r>
      <w:r w:rsidR="00111BB4" w:rsidRPr="00111BB4">
        <w:rPr>
          <w:rFonts w:eastAsiaTheme="minorEastAsia"/>
          <w:vertAlign w:val="subscript"/>
        </w:rPr>
        <w:t>0</w:t>
      </w:r>
      <w:r w:rsidR="00111BB4">
        <w:rPr>
          <w:rFonts w:eastAsiaTheme="minorEastAsia"/>
          <w:vertAlign w:val="subscript"/>
        </w:rPr>
        <w:t xml:space="preserve"> </w:t>
      </w:r>
      <w:r w:rsidR="00111BB4">
        <w:rPr>
          <w:rFonts w:eastAsiaTheme="minorEastAsia"/>
        </w:rPr>
        <w:t>= 0.  Substituti</w:t>
      </w:r>
      <w:r>
        <w:rPr>
          <w:rFonts w:eastAsiaTheme="minorEastAsia"/>
        </w:rPr>
        <w:t>ng into (25</w:t>
      </w:r>
      <w:r w:rsidR="00111BB4">
        <w:rPr>
          <w:rFonts w:eastAsiaTheme="minorEastAsia"/>
        </w:rPr>
        <w:t xml:space="preserve">) </w:t>
      </w:r>
    </w:p>
    <w:p w:rsidR="00111BB4" w:rsidRDefault="00111BB4" w:rsidP="00A82B1A">
      <w:pPr>
        <w:pStyle w:val="EQ"/>
        <w:rPr>
          <w:rFonts w:eastAsiaTheme="minorEastAsia"/>
        </w:rPr>
      </w:pPr>
      <w:r>
        <w:rPr>
          <w:rFonts w:eastAsiaTheme="minorEastAsia"/>
        </w:rPr>
        <w:tab/>
      </w:r>
      <w:r>
        <w:rPr>
          <w:rFonts w:eastAsiaTheme="minorEastAsia"/>
        </w:rPr>
        <w:tab/>
      </w:r>
      <w:r w:rsidR="00DF49CA">
        <w:rPr>
          <w:rFonts w:eastAsiaTheme="minorEastAsia"/>
        </w:rPr>
        <w:t>(26</w:t>
      </w:r>
      <w:r>
        <w:rPr>
          <w:rFonts w:eastAsiaTheme="minorEastAsia"/>
        </w:rPr>
        <w:t>)</w:t>
      </w:r>
    </w:p>
    <w:p w:rsidR="00407EA8" w:rsidRDefault="00407EA8" w:rsidP="00A82B1A">
      <w:pPr>
        <w:pStyle w:val="EQ"/>
        <w:rPr>
          <w:rFonts w:eastAsiaTheme="minorEastAsia"/>
        </w:rPr>
      </w:pPr>
    </w:p>
    <w:p w:rsidR="00111BB4" w:rsidRDefault="00216733" w:rsidP="00A82B1A">
      <w:pPr>
        <w:pStyle w:val="EQ"/>
        <w:rPr>
          <w:rFonts w:eastAsiaTheme="minorEastAsia"/>
        </w:rPr>
      </w:pPr>
      <w:r>
        <w:rPr>
          <w:rFonts w:eastAsiaTheme="minorEastAsia"/>
        </w:rPr>
        <w:t>(</w:t>
      </w:r>
      <w:r w:rsidR="00DF49CA">
        <w:rPr>
          <w:rFonts w:eastAsiaTheme="minorEastAsia"/>
        </w:rPr>
        <w:t>25</w:t>
      </w:r>
      <w:r>
        <w:rPr>
          <w:rFonts w:eastAsiaTheme="minorEastAsia"/>
        </w:rPr>
        <w:t>) and (</w:t>
      </w:r>
      <w:r w:rsidR="00DF49CA">
        <w:rPr>
          <w:rFonts w:eastAsiaTheme="minorEastAsia"/>
        </w:rPr>
        <w:t>26</w:t>
      </w:r>
      <w:r>
        <w:rPr>
          <w:rFonts w:eastAsiaTheme="minorEastAsia"/>
        </w:rPr>
        <w:t>)</w:t>
      </w:r>
      <w:r w:rsidR="00111BB4">
        <w:rPr>
          <w:rFonts w:eastAsiaTheme="minorEastAsia"/>
        </w:rPr>
        <w:t xml:space="preserve"> can be solved to give</w:t>
      </w:r>
    </w:p>
    <w:p w:rsidR="00216733" w:rsidRDefault="00216733" w:rsidP="00A82B1A">
      <w:pPr>
        <w:pStyle w:val="EQ"/>
        <w:rPr>
          <w:rFonts w:eastAsiaTheme="minorEastAsia"/>
        </w:rPr>
      </w:pPr>
      <w:r>
        <w:rPr>
          <w:rFonts w:eastAsiaTheme="minorEastAsia"/>
        </w:rPr>
        <w:tab/>
      </w:r>
      <w:r w:rsidR="00F84065" w:rsidRPr="00216733">
        <w:rPr>
          <w:rFonts w:eastAsiaTheme="minorEastAsia"/>
          <w:position w:val="-12"/>
        </w:rPr>
        <w:object w:dxaOrig="1140" w:dyaOrig="400">
          <v:shape id="_x0000_i1048" type="#_x0000_t75" style="width:57pt;height:20.5pt" o:ole="">
            <v:imagedata r:id="rId65" o:title=""/>
          </v:shape>
          <o:OLEObject Type="Embed" ProgID="Equation.DSMT4" ShapeID="_x0000_i1048" DrawAspect="Content" ObjectID="_1491237327" r:id="rId66"/>
        </w:object>
      </w:r>
      <w:r>
        <w:rPr>
          <w:rFonts w:eastAsiaTheme="minorEastAsia"/>
        </w:rPr>
        <w:tab/>
        <w:t>(</w:t>
      </w:r>
      <w:r w:rsidR="00DF49CA">
        <w:rPr>
          <w:rFonts w:eastAsiaTheme="minorEastAsia"/>
        </w:rPr>
        <w:t>27</w:t>
      </w:r>
      <w:r>
        <w:rPr>
          <w:rFonts w:eastAsiaTheme="minorEastAsia"/>
        </w:rPr>
        <w:t>a)</w:t>
      </w:r>
    </w:p>
    <w:p w:rsidR="00111BB4" w:rsidRDefault="00216733" w:rsidP="00A82B1A">
      <w:pPr>
        <w:pStyle w:val="EQ"/>
        <w:rPr>
          <w:rFonts w:eastAsiaTheme="minorEastAsia"/>
        </w:rPr>
      </w:pPr>
      <w:r>
        <w:rPr>
          <w:rFonts w:eastAsiaTheme="minorEastAsia"/>
        </w:rPr>
        <w:tab/>
      </w:r>
      <w:r w:rsidR="00F84065" w:rsidRPr="00216733">
        <w:rPr>
          <w:rFonts w:eastAsiaTheme="minorEastAsia"/>
          <w:position w:val="-12"/>
        </w:rPr>
        <w:object w:dxaOrig="1640" w:dyaOrig="400">
          <v:shape id="_x0000_i1049" type="#_x0000_t75" style="width:82pt;height:20.5pt" o:ole="">
            <v:imagedata r:id="rId67" o:title=""/>
          </v:shape>
          <o:OLEObject Type="Embed" ProgID="Equation.DSMT4" ShapeID="_x0000_i1049" DrawAspect="Content" ObjectID="_1491237328" r:id="rId68"/>
        </w:object>
      </w:r>
      <w:r>
        <w:rPr>
          <w:rFonts w:eastAsiaTheme="minorEastAsia"/>
        </w:rPr>
        <w:tab/>
        <w:t>(</w:t>
      </w:r>
      <w:r w:rsidR="00DF49CA">
        <w:rPr>
          <w:rFonts w:eastAsiaTheme="minorEastAsia"/>
        </w:rPr>
        <w:t>27</w:t>
      </w:r>
      <w:r>
        <w:rPr>
          <w:rFonts w:eastAsiaTheme="minorEastAsia"/>
        </w:rPr>
        <w:t>b)</w:t>
      </w:r>
    </w:p>
    <w:tbl>
      <w:tblPr>
        <w:tblStyle w:val="TableGrid"/>
        <w:tblpPr w:leftFromText="180" w:rightFromText="180" w:vertAnchor="text" w:horzAnchor="page" w:tblpX="6748" w:tblpY="3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F21A62" w:rsidTr="00F21A62">
        <w:tc>
          <w:tcPr>
            <w:tcW w:w="4698" w:type="dxa"/>
          </w:tcPr>
          <w:p w:rsidR="00F21A62" w:rsidRDefault="00F21A62" w:rsidP="00F21A62">
            <w:pPr>
              <w:pStyle w:val="EQ"/>
              <w:rPr>
                <w:rFonts w:eastAsiaTheme="minorEastAsia"/>
              </w:rPr>
            </w:pPr>
            <w:r>
              <w:rPr>
                <w:noProof/>
              </w:rPr>
              <w:drawing>
                <wp:inline distT="0" distB="0" distL="0" distR="0" wp14:anchorId="23360806" wp14:editId="6ADEA611">
                  <wp:extent cx="2762250" cy="207168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762250" cy="2071688"/>
                          </a:xfrm>
                          <a:prstGeom prst="rect">
                            <a:avLst/>
                          </a:prstGeom>
                        </pic:spPr>
                      </pic:pic>
                    </a:graphicData>
                  </a:graphic>
                </wp:inline>
              </w:drawing>
            </w:r>
          </w:p>
        </w:tc>
      </w:tr>
      <w:tr w:rsidR="00F21A62" w:rsidTr="00F21A62">
        <w:tc>
          <w:tcPr>
            <w:tcW w:w="4698" w:type="dxa"/>
          </w:tcPr>
          <w:p w:rsidR="00F21A62" w:rsidRDefault="00F84065" w:rsidP="00F21A62">
            <w:pPr>
              <w:pStyle w:val="EQ"/>
              <w:rPr>
                <w:rFonts w:eastAsiaTheme="minorEastAsia"/>
              </w:rPr>
            </w:pPr>
            <w:r>
              <w:rPr>
                <w:rFonts w:eastAsiaTheme="minorEastAsia"/>
              </w:rPr>
              <w:t>Fig. 1.  First-</w:t>
            </w:r>
            <w:r w:rsidR="00F21A62">
              <w:rPr>
                <w:rFonts w:eastAsiaTheme="minorEastAsia"/>
              </w:rPr>
              <w:t>order decay of A analyzed numerically (dark blue)</w:t>
            </w:r>
            <w:r w:rsidR="00BB7A9F">
              <w:rPr>
                <w:rFonts w:eastAsiaTheme="minorEastAsia"/>
              </w:rPr>
              <w:t xml:space="preserve"> and the exact solution from (27</w:t>
            </w:r>
            <w:r w:rsidR="00F21A62">
              <w:rPr>
                <w:rFonts w:eastAsiaTheme="minorEastAsia"/>
              </w:rPr>
              <w:t>a) (light blue dashed).  Products calculated numerically (gree</w:t>
            </w:r>
            <w:r w:rsidR="00BB7A9F">
              <w:rPr>
                <w:rFonts w:eastAsiaTheme="minorEastAsia"/>
              </w:rPr>
              <w:t>n) and the exact result from (27</w:t>
            </w:r>
            <w:r w:rsidR="00F21A62">
              <w:rPr>
                <w:rFonts w:eastAsiaTheme="minorEastAsia"/>
              </w:rPr>
              <w:t>b) as red dashed line.</w:t>
            </w:r>
          </w:p>
        </w:tc>
      </w:tr>
    </w:tbl>
    <w:p w:rsidR="0049719B" w:rsidRPr="0049719B" w:rsidRDefault="0049719B" w:rsidP="00A82B1A">
      <w:pPr>
        <w:pStyle w:val="Heading4"/>
        <w:rPr>
          <w:rFonts w:eastAsiaTheme="minorEastAsia"/>
          <w:i w:val="0"/>
          <w:u w:val="none"/>
        </w:rPr>
      </w:pPr>
      <w:r>
        <w:rPr>
          <w:rFonts w:eastAsiaTheme="minorEastAsia"/>
          <w:i w:val="0"/>
          <w:u w:val="none"/>
        </w:rPr>
        <w:t>The</w:t>
      </w:r>
      <w:r w:rsidR="00DF49CA">
        <w:rPr>
          <w:rFonts w:eastAsiaTheme="minorEastAsia"/>
          <w:i w:val="0"/>
          <w:u w:val="none"/>
        </w:rPr>
        <w:t xml:space="preserve"> right hand side of equations (25) and (26</w:t>
      </w:r>
      <w:r>
        <w:rPr>
          <w:rFonts w:eastAsiaTheme="minorEastAsia"/>
          <w:i w:val="0"/>
          <w:u w:val="none"/>
        </w:rPr>
        <w:t xml:space="preserve">) are </w:t>
      </w:r>
      <w:r w:rsidRPr="0049719B">
        <w:rPr>
          <w:rFonts w:ascii="ESSTIXThirteen" w:eastAsiaTheme="minorEastAsia" w:hAnsi="ESSTIXThirteen"/>
          <w:i w:val="0"/>
          <w:u w:val="none"/>
        </w:rPr>
        <w:t>R</w:t>
      </w:r>
      <w:r>
        <w:rPr>
          <w:rFonts w:eastAsiaTheme="minorEastAsia"/>
          <w:i w:val="0"/>
          <w:u w:val="none"/>
        </w:rPr>
        <w:t xml:space="preserve"> in eq. 3.  These are the forms that will be used when the reactions are analyzed numerically.  </w:t>
      </w:r>
    </w:p>
    <w:p w:rsidR="003D2462" w:rsidRDefault="003D2462" w:rsidP="00A82B1A">
      <w:pPr>
        <w:pStyle w:val="Heading4"/>
        <w:rPr>
          <w:rFonts w:eastAsiaTheme="minorEastAsia"/>
        </w:rPr>
      </w:pPr>
      <w:r>
        <w:rPr>
          <w:rFonts w:eastAsiaTheme="minorEastAsia"/>
        </w:rPr>
        <w:t>Example</w:t>
      </w:r>
    </w:p>
    <w:p w:rsidR="009A60AB" w:rsidRDefault="00A82B1A" w:rsidP="00A82B1A">
      <w:pPr>
        <w:rPr>
          <w:rFonts w:eastAsiaTheme="minorEastAsia"/>
        </w:rPr>
      </w:pPr>
      <w:r>
        <w:rPr>
          <w:rFonts w:eastAsiaTheme="minorEastAsia"/>
        </w:rPr>
        <w:t xml:space="preserve"> </w:t>
      </w:r>
      <w:r w:rsidR="009A60AB">
        <w:rPr>
          <w:rFonts w:eastAsiaTheme="minorEastAsia"/>
        </w:rPr>
        <w:t xml:space="preserve">An analysis of a first order reaction was conducted numerically </w:t>
      </w:r>
      <w:r w:rsidR="00DF49CA">
        <w:rPr>
          <w:rFonts w:eastAsiaTheme="minorEastAsia"/>
        </w:rPr>
        <w:t>using the rate expressions in (25</w:t>
      </w:r>
      <w:r w:rsidR="009A60AB">
        <w:rPr>
          <w:rFonts w:eastAsiaTheme="minorEastAsia"/>
        </w:rPr>
        <w:t>) and (</w:t>
      </w:r>
      <w:r w:rsidR="00DF49CA">
        <w:rPr>
          <w:rFonts w:eastAsiaTheme="minorEastAsia"/>
        </w:rPr>
        <w:t>26</w:t>
      </w:r>
      <w:r w:rsidR="009A60AB">
        <w:rPr>
          <w:rFonts w:eastAsiaTheme="minorEastAsia"/>
        </w:rPr>
        <w:t xml:space="preserve">).  Initial values of </w:t>
      </w:r>
      <w:r w:rsidR="009A60AB" w:rsidRPr="009A60AB">
        <w:rPr>
          <w:rFonts w:eastAsiaTheme="minorEastAsia"/>
          <w:i/>
        </w:rPr>
        <w:t>A</w:t>
      </w:r>
      <w:r w:rsidR="009A60AB" w:rsidRPr="009A60AB">
        <w:rPr>
          <w:rFonts w:eastAsiaTheme="minorEastAsia"/>
          <w:vertAlign w:val="subscript"/>
        </w:rPr>
        <w:t>0</w:t>
      </w:r>
      <w:r w:rsidR="009A60AB">
        <w:rPr>
          <w:rFonts w:eastAsiaTheme="minorEastAsia"/>
        </w:rPr>
        <w:t>=1.0</w:t>
      </w:r>
      <w:r w:rsidR="00B260EC">
        <w:rPr>
          <w:rFonts w:eastAsiaTheme="minorEastAsia"/>
        </w:rPr>
        <w:t xml:space="preserve"> mol/m</w:t>
      </w:r>
      <w:r w:rsidR="00B260EC" w:rsidRPr="00B260EC">
        <w:rPr>
          <w:rFonts w:eastAsiaTheme="minorEastAsia"/>
          <w:vertAlign w:val="superscript"/>
        </w:rPr>
        <w:t>3</w:t>
      </w:r>
      <w:r w:rsidR="00B260EC">
        <w:rPr>
          <w:rFonts w:eastAsiaTheme="minorEastAsia"/>
        </w:rPr>
        <w:t xml:space="preserve"> </w:t>
      </w:r>
      <w:r w:rsidR="009A60AB">
        <w:rPr>
          <w:rFonts w:eastAsiaTheme="minorEastAsia"/>
        </w:rPr>
        <w:t xml:space="preserve">and </w:t>
      </w:r>
      <w:r w:rsidR="009A60AB" w:rsidRPr="009A60AB">
        <w:rPr>
          <w:rFonts w:eastAsiaTheme="minorEastAsia"/>
          <w:i/>
        </w:rPr>
        <w:t>P</w:t>
      </w:r>
      <w:r w:rsidR="009A60AB">
        <w:rPr>
          <w:rFonts w:eastAsiaTheme="minorEastAsia"/>
          <w:vertAlign w:val="subscript"/>
        </w:rPr>
        <w:t>0</w:t>
      </w:r>
      <w:r w:rsidR="009A60AB">
        <w:rPr>
          <w:rFonts w:eastAsiaTheme="minorEastAsia"/>
        </w:rPr>
        <w:t>=0</w:t>
      </w:r>
      <w:r w:rsidR="00B260EC">
        <w:rPr>
          <w:rFonts w:eastAsiaTheme="minorEastAsia"/>
        </w:rPr>
        <w:t xml:space="preserve"> mol/m</w:t>
      </w:r>
      <w:r w:rsidR="00B260EC" w:rsidRPr="00B260EC">
        <w:rPr>
          <w:rFonts w:eastAsiaTheme="minorEastAsia"/>
          <w:vertAlign w:val="superscript"/>
        </w:rPr>
        <w:t>3</w:t>
      </w:r>
      <w:r w:rsidR="009A60AB">
        <w:rPr>
          <w:rFonts w:eastAsiaTheme="minorEastAsia"/>
        </w:rPr>
        <w:t xml:space="preserve">, and </w:t>
      </w:r>
      <w:r w:rsidR="009A60AB" w:rsidRPr="009A60AB">
        <w:rPr>
          <w:rFonts w:eastAsiaTheme="minorEastAsia"/>
          <w:i/>
        </w:rPr>
        <w:t>k</w:t>
      </w:r>
      <w:r w:rsidR="00F84065" w:rsidRPr="00F84065">
        <w:rPr>
          <w:rFonts w:eastAsiaTheme="minorEastAsia"/>
          <w:i/>
          <w:vertAlign w:val="subscript"/>
        </w:rPr>
        <w:t>f</w:t>
      </w:r>
      <w:r w:rsidR="009A60AB" w:rsidRPr="009A60AB">
        <w:rPr>
          <w:rFonts w:eastAsiaTheme="minorEastAsia"/>
          <w:vertAlign w:val="subscript"/>
        </w:rPr>
        <w:t>1</w:t>
      </w:r>
      <w:r w:rsidR="009A60AB">
        <w:rPr>
          <w:rFonts w:eastAsiaTheme="minorEastAsia"/>
        </w:rPr>
        <w:t>=0.1 s</w:t>
      </w:r>
      <w:r w:rsidR="009A60AB" w:rsidRPr="009A60AB">
        <w:rPr>
          <w:rFonts w:eastAsiaTheme="minorEastAsia"/>
          <w:vertAlign w:val="superscript"/>
        </w:rPr>
        <w:t>-1</w:t>
      </w:r>
      <w:r w:rsidR="009A60AB">
        <w:rPr>
          <w:rFonts w:eastAsiaTheme="minorEastAsia"/>
        </w:rPr>
        <w:t xml:space="preserve">. were used.  </w:t>
      </w:r>
    </w:p>
    <w:p w:rsidR="009A60AB" w:rsidRPr="009A60AB" w:rsidRDefault="009A60AB" w:rsidP="00A82B1A">
      <w:pPr>
        <w:rPr>
          <w:rFonts w:eastAsiaTheme="minorEastAsia"/>
        </w:rPr>
      </w:pPr>
      <w:r>
        <w:rPr>
          <w:rFonts w:eastAsiaTheme="minorEastAsia"/>
        </w:rPr>
        <w:t xml:space="preserve">The reactants decay and the products are created within approximately 80 s.  The numerical results are within 1 percent of the exact results </w:t>
      </w:r>
      <w:r w:rsidR="00DF49CA">
        <w:rPr>
          <w:rFonts w:eastAsiaTheme="minorEastAsia"/>
        </w:rPr>
        <w:t>using (27</w:t>
      </w:r>
      <w:r w:rsidR="00A82B1A">
        <w:rPr>
          <w:rFonts w:eastAsiaTheme="minorEastAsia"/>
        </w:rPr>
        <w:t>)</w:t>
      </w:r>
      <w:r w:rsidR="00DF49CA">
        <w:rPr>
          <w:rFonts w:eastAsiaTheme="minorEastAsia"/>
        </w:rPr>
        <w:t>, as shown in Figure 1</w:t>
      </w:r>
      <w:r w:rsidR="00A82B1A">
        <w:rPr>
          <w:rFonts w:eastAsiaTheme="minorEastAsia"/>
        </w:rPr>
        <w:t>.</w:t>
      </w:r>
    </w:p>
    <w:p w:rsidR="00DE796A" w:rsidRDefault="00EA5DF0" w:rsidP="00A82B1A">
      <w:pPr>
        <w:pStyle w:val="Heading4"/>
        <w:rPr>
          <w:rFonts w:eastAsiaTheme="minorEastAsia"/>
        </w:rPr>
      </w:pPr>
      <w:r>
        <w:rPr>
          <w:rFonts w:eastAsiaTheme="minorEastAsia"/>
        </w:rPr>
        <w:t>Second-order reaction</w:t>
      </w:r>
    </w:p>
    <w:p w:rsidR="00DE796A" w:rsidRDefault="00DE796A" w:rsidP="00A82B1A">
      <w:pPr>
        <w:pStyle w:val="EQ"/>
        <w:rPr>
          <w:rFonts w:eastAsiaTheme="minorEastAsia"/>
        </w:rPr>
      </w:pPr>
      <w:r>
        <w:rPr>
          <w:rFonts w:eastAsiaTheme="minorEastAsia"/>
        </w:rPr>
        <w:t>Another simple reaction is</w:t>
      </w:r>
    </w:p>
    <w:p w:rsidR="00DE796A" w:rsidRPr="00DE796A" w:rsidRDefault="00DE796A" w:rsidP="00A82B1A">
      <w:pPr>
        <w:pStyle w:val="EQ"/>
        <w:rPr>
          <w:rFonts w:eastAsiaTheme="minorEastAsia"/>
        </w:rPr>
      </w:pPr>
      <w:r w:rsidRPr="00DE796A">
        <w:rPr>
          <w:rFonts w:eastAsiaTheme="minorEastAsia"/>
        </w:rPr>
        <w:t>2A=</w:t>
      </w:r>
      <w:r w:rsidRPr="00DE796A">
        <w:rPr>
          <w:rFonts w:eastAsiaTheme="minorEastAsia"/>
        </w:rPr>
        <w:sym w:font="Wingdings" w:char="F0E0"/>
      </w:r>
      <w:r w:rsidRPr="00DE796A">
        <w:rPr>
          <w:rFonts w:eastAsiaTheme="minorEastAsia"/>
        </w:rPr>
        <w:t>Products</w:t>
      </w:r>
      <w:r w:rsidR="00EA5DF0">
        <w:rPr>
          <w:rFonts w:eastAsiaTheme="minorEastAsia"/>
        </w:rPr>
        <w:tab/>
      </w:r>
      <w:r w:rsidR="00DF49CA">
        <w:rPr>
          <w:rFonts w:eastAsiaTheme="minorEastAsia"/>
        </w:rPr>
        <w:t>(28</w:t>
      </w:r>
      <w:r w:rsidR="00EA5DF0">
        <w:rPr>
          <w:rFonts w:eastAsiaTheme="minorEastAsia"/>
        </w:rPr>
        <w:t>)</w:t>
      </w:r>
    </w:p>
    <w:p w:rsidR="00DE796A" w:rsidRDefault="00F84065" w:rsidP="00A82B1A">
      <w:pPr>
        <w:pStyle w:val="EQ"/>
        <w:rPr>
          <w:rFonts w:eastAsiaTheme="minorEastAsia"/>
        </w:rPr>
      </w:pPr>
      <w:r>
        <w:rPr>
          <w:rFonts w:eastAsiaTheme="minorEastAsia"/>
        </w:rPr>
        <w:t xml:space="preserve">In this case, </w:t>
      </w:r>
      <w:r w:rsidRPr="00F84065">
        <w:rPr>
          <w:rFonts w:ascii="Symbol" w:eastAsiaTheme="minorEastAsia" w:hAnsi="Symbol"/>
        </w:rPr>
        <w:t></w:t>
      </w:r>
      <w:r>
        <w:rPr>
          <w:rFonts w:eastAsiaTheme="minorEastAsia"/>
        </w:rPr>
        <w:t>=-2, so we again assume the system is far from equilibrium so (19) becomes</w:t>
      </w:r>
    </w:p>
    <w:p w:rsidR="00DE796A" w:rsidRDefault="00F84065" w:rsidP="00A82B1A">
      <w:pPr>
        <w:pStyle w:val="EQ"/>
        <w:rPr>
          <w:rFonts w:eastAsiaTheme="minorEastAsia"/>
        </w:rPr>
      </w:pPr>
      <w:r>
        <w:lastRenderedPageBreak/>
        <w:tab/>
      </w:r>
      <w:r w:rsidRPr="00F84065">
        <w:rPr>
          <w:position w:val="-14"/>
        </w:rPr>
        <w:object w:dxaOrig="1060" w:dyaOrig="400">
          <v:shape id="_x0000_i1050" type="#_x0000_t75" style="width:53.5pt;height:20.5pt" o:ole="">
            <v:imagedata r:id="rId70" o:title=""/>
          </v:shape>
          <o:OLEObject Type="Embed" ProgID="Equation.DSMT4" ShapeID="_x0000_i1050" DrawAspect="Content" ObjectID="_1491237329" r:id="rId71"/>
        </w:object>
      </w:r>
      <w:r>
        <w:rPr>
          <w:rFonts w:eastAsiaTheme="minorEastAsia"/>
        </w:rPr>
        <w:tab/>
      </w:r>
      <w:r w:rsidR="00DF49CA">
        <w:rPr>
          <w:rFonts w:eastAsiaTheme="minorEastAsia"/>
        </w:rPr>
        <w:t>(29</w:t>
      </w:r>
      <w:r w:rsidR="00EA5DF0">
        <w:rPr>
          <w:rFonts w:eastAsiaTheme="minorEastAsia"/>
        </w:rPr>
        <w:t>)</w:t>
      </w:r>
    </w:p>
    <w:p w:rsidR="00DE796A" w:rsidRDefault="00E567EA" w:rsidP="00A82B1A">
      <w:pPr>
        <w:pStyle w:val="EQ"/>
        <w:rPr>
          <w:rFonts w:eastAsiaTheme="minorEastAsia"/>
        </w:rPr>
      </w:pPr>
      <w:r>
        <w:rPr>
          <w:rFonts w:eastAsiaTheme="minorEastAsia"/>
          <w:noProof/>
        </w:rPr>
        <w:pict w14:anchorId="10C5AC22">
          <v:shape id="Object 9" o:spid="_x0000_s1032" type="#_x0000_t75" style="position:absolute;margin-left:198.45pt;margin-top:19.5pt;width:65pt;height:31pt;z-index:251664384;visibility:visible">
            <v:imagedata r:id="rId72" o:title=""/>
          </v:shape>
          <o:OLEObject Type="Embed" ProgID="Equation.DSMT4" ShapeID="Object 9" DrawAspect="Content" ObjectID="_1491237369" r:id="rId73"/>
        </w:pict>
      </w:r>
      <w:r w:rsidR="00DE796A">
        <w:rPr>
          <w:rFonts w:eastAsiaTheme="minorEastAsia"/>
        </w:rPr>
        <w:t>and</w:t>
      </w:r>
    </w:p>
    <w:p w:rsidR="00DE796A" w:rsidRDefault="00EA5DF0" w:rsidP="00A82B1A">
      <w:pPr>
        <w:pStyle w:val="EQ"/>
        <w:rPr>
          <w:rFonts w:eastAsiaTheme="minorEastAsia"/>
        </w:rPr>
      </w:pPr>
      <w:r>
        <w:rPr>
          <w:rFonts w:eastAsiaTheme="minorEastAsia"/>
        </w:rPr>
        <w:tab/>
      </w:r>
      <w:r>
        <w:rPr>
          <w:rFonts w:eastAsiaTheme="minorEastAsia"/>
        </w:rPr>
        <w:tab/>
      </w:r>
      <w:r w:rsidR="00F84065">
        <w:rPr>
          <w:rFonts w:eastAsiaTheme="minorEastAsia"/>
        </w:rPr>
        <w:t>(30</w:t>
      </w:r>
      <w:r>
        <w:rPr>
          <w:rFonts w:eastAsiaTheme="minorEastAsia"/>
        </w:rPr>
        <w:t>)</w:t>
      </w:r>
    </w:p>
    <w:p w:rsidR="00DE796A" w:rsidRDefault="00DE796A" w:rsidP="00A82B1A">
      <w:pPr>
        <w:pStyle w:val="EQ"/>
        <w:rPr>
          <w:rFonts w:eastAsiaTheme="minorEastAsia"/>
        </w:rPr>
      </w:pPr>
    </w:p>
    <w:p w:rsidR="00DE796A" w:rsidRDefault="00DE796A" w:rsidP="00A82B1A">
      <w:pPr>
        <w:pStyle w:val="EQ"/>
        <w:rPr>
          <w:rFonts w:eastAsiaTheme="minorEastAsia"/>
        </w:rPr>
      </w:pPr>
      <w:r>
        <w:rPr>
          <w:rFonts w:eastAsiaTheme="minorEastAsia"/>
        </w:rPr>
        <w:t xml:space="preserve">This reaction is </w:t>
      </w:r>
      <w:r w:rsidRPr="00F21A62">
        <w:rPr>
          <w:rFonts w:eastAsiaTheme="minorEastAsia"/>
          <w:i/>
        </w:rPr>
        <w:t>second-order</w:t>
      </w:r>
      <w:r>
        <w:rPr>
          <w:rFonts w:eastAsiaTheme="minorEastAsia"/>
        </w:rPr>
        <w:t xml:space="preserve"> in </w:t>
      </w:r>
      <w:r w:rsidRPr="00DE796A">
        <w:rPr>
          <w:rFonts w:eastAsiaTheme="minorEastAsia"/>
          <w:i/>
        </w:rPr>
        <w:t>A</w:t>
      </w:r>
      <w:r w:rsidR="00F21A62">
        <w:rPr>
          <w:rFonts w:eastAsiaTheme="minorEastAsia"/>
        </w:rPr>
        <w:t xml:space="preserve"> because </w:t>
      </w:r>
      <w:r w:rsidR="00F21A62" w:rsidRPr="00F21A62">
        <w:rPr>
          <w:rFonts w:eastAsiaTheme="minorEastAsia"/>
          <w:i/>
        </w:rPr>
        <w:t>A</w:t>
      </w:r>
      <w:r w:rsidR="00F84065">
        <w:rPr>
          <w:rFonts w:eastAsiaTheme="minorEastAsia"/>
        </w:rPr>
        <w:t xml:space="preserve"> is raised to the</w:t>
      </w:r>
      <w:r w:rsidR="00F21A62">
        <w:rPr>
          <w:rFonts w:eastAsiaTheme="minorEastAsia"/>
        </w:rPr>
        <w:t xml:space="preserve"> power</w:t>
      </w:r>
      <w:r w:rsidR="00F84065">
        <w:rPr>
          <w:rFonts w:eastAsiaTheme="minorEastAsia"/>
        </w:rPr>
        <w:t xml:space="preserve"> 2</w:t>
      </w:r>
      <w:r>
        <w:rPr>
          <w:rFonts w:eastAsiaTheme="minorEastAsia"/>
        </w:rPr>
        <w:t xml:space="preserve">.  In these two examples, the exponent </w:t>
      </w:r>
      <w:r w:rsidR="00F84065" w:rsidRPr="00F84065">
        <w:rPr>
          <w:rFonts w:eastAsiaTheme="minorEastAsia"/>
          <w:i/>
        </w:rPr>
        <w:t>v</w:t>
      </w:r>
      <w:r w:rsidR="00F84065" w:rsidRPr="00F84065">
        <w:rPr>
          <w:rFonts w:eastAsiaTheme="minorEastAsia"/>
          <w:vertAlign w:val="subscript"/>
        </w:rPr>
        <w:t>i</w:t>
      </w:r>
      <w:r w:rsidR="00F84065">
        <w:rPr>
          <w:rFonts w:eastAsiaTheme="minorEastAsia"/>
        </w:rPr>
        <w:t>, in (19</w:t>
      </w:r>
      <w:r>
        <w:rPr>
          <w:rFonts w:eastAsiaTheme="minorEastAsia"/>
        </w:rPr>
        <w:t>) is the same as the stoichiometric coefficient.  It follows that this will be the case in most circumstances</w:t>
      </w:r>
      <w:r w:rsidR="00EA5DF0">
        <w:rPr>
          <w:rFonts w:eastAsiaTheme="minorEastAsia"/>
        </w:rPr>
        <w:t xml:space="preserve"> by extending the logic above</w:t>
      </w:r>
      <w:r>
        <w:rPr>
          <w:rFonts w:eastAsiaTheme="minorEastAsia"/>
        </w:rPr>
        <w:t xml:space="preserve">, however, there are some reactions that do not behave this way, so it is not a general rule (see </w:t>
      </w:r>
      <w:r w:rsidRPr="00F21A62">
        <w:rPr>
          <w:rFonts w:eastAsiaTheme="minorEastAsia"/>
          <w:i/>
        </w:rPr>
        <w:t>Houston</w:t>
      </w:r>
      <w:r>
        <w:rPr>
          <w:rFonts w:eastAsiaTheme="minorEastAsia"/>
        </w:rPr>
        <w:t xml:space="preserve"> [2001, pg 36] for an exception).  </w:t>
      </w:r>
    </w:p>
    <w:p w:rsidR="00DE796A" w:rsidRDefault="00EA5DF0" w:rsidP="00F21A62">
      <w:pPr>
        <w:pStyle w:val="Heading4"/>
        <w:rPr>
          <w:rFonts w:eastAsiaTheme="minorEastAsia"/>
        </w:rPr>
      </w:pPr>
      <w:r>
        <w:rPr>
          <w:rFonts w:eastAsiaTheme="minorEastAsia"/>
        </w:rPr>
        <w:t>Pseudo-First Order Reaction</w:t>
      </w:r>
    </w:p>
    <w:p w:rsidR="00EA5DF0" w:rsidRDefault="00EA5DF0" w:rsidP="00F21A62">
      <w:pPr>
        <w:ind w:firstLine="0"/>
        <w:rPr>
          <w:rFonts w:eastAsiaTheme="minorEastAsia"/>
        </w:rPr>
      </w:pPr>
      <w:r>
        <w:rPr>
          <w:rFonts w:eastAsiaTheme="minorEastAsia"/>
        </w:rPr>
        <w:t>He</w:t>
      </w:r>
      <w:r w:rsidR="000A29F6">
        <w:rPr>
          <w:rFonts w:eastAsiaTheme="minorEastAsia"/>
        </w:rPr>
        <w:t>re is a reaction of mixed third</w:t>
      </w:r>
      <w:r>
        <w:rPr>
          <w:rFonts w:eastAsiaTheme="minorEastAsia"/>
        </w:rPr>
        <w:t xml:space="preserve"> order</w:t>
      </w:r>
    </w:p>
    <w:p w:rsidR="000333E5" w:rsidRDefault="000333E5" w:rsidP="00F21A62">
      <w:pPr>
        <w:pStyle w:val="EQ"/>
        <w:rPr>
          <w:rFonts w:eastAsiaTheme="minorEastAsia"/>
        </w:rPr>
      </w:pPr>
      <w:r>
        <w:rPr>
          <w:rFonts w:eastAsiaTheme="minorEastAsia"/>
        </w:rPr>
        <w:tab/>
        <w:t>2A+B</w:t>
      </w:r>
      <w:r w:rsidRPr="000333E5">
        <w:rPr>
          <w:rFonts w:eastAsiaTheme="minorEastAsia"/>
        </w:rPr>
        <w:sym w:font="Wingdings" w:char="F0E0"/>
      </w:r>
      <w:r>
        <w:rPr>
          <w:rFonts w:eastAsiaTheme="minorEastAsia"/>
        </w:rPr>
        <w:t>P</w:t>
      </w:r>
      <w:r w:rsidR="002012B9">
        <w:rPr>
          <w:rFonts w:eastAsiaTheme="minorEastAsia"/>
        </w:rPr>
        <w:tab/>
      </w:r>
      <w:r w:rsidR="00F84065">
        <w:rPr>
          <w:rFonts w:eastAsiaTheme="minorEastAsia"/>
        </w:rPr>
        <w:t>(31</w:t>
      </w:r>
      <w:r w:rsidR="002012B9">
        <w:rPr>
          <w:rFonts w:eastAsiaTheme="minorEastAsia"/>
        </w:rPr>
        <w:t>)</w:t>
      </w:r>
    </w:p>
    <w:p w:rsidR="000333E5" w:rsidRDefault="00F84065" w:rsidP="00F21A62">
      <w:pPr>
        <w:ind w:firstLine="0"/>
        <w:rPr>
          <w:rFonts w:eastAsiaTheme="minorEastAsia"/>
        </w:rPr>
      </w:pPr>
      <w:r>
        <w:rPr>
          <w:rFonts w:eastAsiaTheme="minorEastAsia"/>
        </w:rPr>
        <w:t>Following (19</w:t>
      </w:r>
      <w:r w:rsidR="000333E5">
        <w:rPr>
          <w:rFonts w:eastAsiaTheme="minorEastAsia"/>
        </w:rPr>
        <w:t>)</w:t>
      </w:r>
      <w:r>
        <w:rPr>
          <w:rFonts w:eastAsiaTheme="minorEastAsia"/>
        </w:rPr>
        <w:t xml:space="preserve"> and the example shown above</w:t>
      </w:r>
      <w:r w:rsidR="000333E5">
        <w:rPr>
          <w:rFonts w:eastAsiaTheme="minorEastAsia"/>
        </w:rPr>
        <w:t>, the kinetics are</w:t>
      </w:r>
      <w:r w:rsidR="00216733">
        <w:rPr>
          <w:rFonts w:eastAsiaTheme="minorEastAsia"/>
        </w:rPr>
        <w:t xml:space="preserve"> inferred to be</w:t>
      </w:r>
    </w:p>
    <w:p w:rsidR="000333E5" w:rsidRDefault="002012B9" w:rsidP="00F21A62">
      <w:pPr>
        <w:pStyle w:val="EQ"/>
        <w:rPr>
          <w:rFonts w:eastAsiaTheme="minorEastAsia"/>
        </w:rPr>
      </w:pPr>
      <w:r>
        <w:rPr>
          <w:rFonts w:eastAsiaTheme="minorEastAsia"/>
        </w:rPr>
        <w:tab/>
      </w:r>
      <w:r w:rsidR="000A29F6" w:rsidRPr="000333E5">
        <w:rPr>
          <w:rFonts w:eastAsiaTheme="minorEastAsia"/>
          <w:position w:val="-24"/>
        </w:rPr>
        <w:object w:dxaOrig="1219" w:dyaOrig="620">
          <v:shape id="_x0000_i1051" type="#_x0000_t75" style="width:61pt;height:31pt" o:ole="">
            <v:imagedata r:id="rId74" o:title=""/>
          </v:shape>
          <o:OLEObject Type="Embed" ProgID="Equation.DSMT4" ShapeID="_x0000_i1051" DrawAspect="Content" ObjectID="_1491237330" r:id="rId75"/>
        </w:object>
      </w:r>
      <w:r>
        <w:rPr>
          <w:rFonts w:eastAsiaTheme="minorEastAsia"/>
        </w:rPr>
        <w:tab/>
      </w:r>
      <w:r w:rsidR="00F84065">
        <w:rPr>
          <w:rFonts w:eastAsiaTheme="minorEastAsia"/>
        </w:rPr>
        <w:t>(32</w:t>
      </w:r>
      <w:r>
        <w:rPr>
          <w:rFonts w:eastAsiaTheme="minorEastAsia"/>
        </w:rPr>
        <w:t>)</w:t>
      </w:r>
    </w:p>
    <w:p w:rsidR="000333E5" w:rsidRDefault="00F21A62" w:rsidP="00F21A62">
      <w:pPr>
        <w:pStyle w:val="EQ"/>
        <w:rPr>
          <w:rFonts w:eastAsiaTheme="minorEastAsia"/>
        </w:rPr>
      </w:pPr>
      <w:r>
        <w:rPr>
          <w:rFonts w:eastAsiaTheme="minorEastAsia"/>
        </w:rPr>
        <w:t xml:space="preserve">This form </w:t>
      </w:r>
      <w:r w:rsidR="00F84065">
        <w:rPr>
          <w:rFonts w:eastAsiaTheme="minorEastAsia"/>
        </w:rPr>
        <w:t>can used in the analysis</w:t>
      </w:r>
      <w:r>
        <w:rPr>
          <w:rFonts w:eastAsiaTheme="minorEastAsia"/>
        </w:rPr>
        <w:t>, but it</w:t>
      </w:r>
      <w:r w:rsidR="00F84065">
        <w:rPr>
          <w:rFonts w:eastAsiaTheme="minorEastAsia"/>
        </w:rPr>
        <w:t xml:space="preserve"> is cumbersome to solve analytically and</w:t>
      </w:r>
      <w:r>
        <w:rPr>
          <w:rFonts w:eastAsiaTheme="minorEastAsia"/>
        </w:rPr>
        <w:t xml:space="preserve"> can be simplified.  </w:t>
      </w:r>
      <w:r w:rsidR="000333E5">
        <w:rPr>
          <w:rFonts w:eastAsiaTheme="minorEastAsia"/>
        </w:rPr>
        <w:t>According</w:t>
      </w:r>
      <w:r>
        <w:rPr>
          <w:rFonts w:eastAsiaTheme="minorEastAsia"/>
        </w:rPr>
        <w:t xml:space="preserve"> to</w:t>
      </w:r>
      <w:r w:rsidR="000333E5">
        <w:rPr>
          <w:rFonts w:eastAsiaTheme="minorEastAsia"/>
        </w:rPr>
        <w:t xml:space="preserve"> (5)</w:t>
      </w:r>
    </w:p>
    <w:p w:rsidR="000333E5" w:rsidRDefault="002012B9" w:rsidP="00F21A62">
      <w:pPr>
        <w:pStyle w:val="EQ"/>
        <w:rPr>
          <w:rFonts w:eastAsiaTheme="minorEastAsia"/>
        </w:rPr>
      </w:pPr>
      <w:r>
        <w:rPr>
          <w:rFonts w:eastAsiaTheme="minorEastAsia"/>
        </w:rPr>
        <w:tab/>
      </w:r>
      <w:r w:rsidRPr="000333E5">
        <w:rPr>
          <w:rFonts w:eastAsiaTheme="minorEastAsia"/>
          <w:position w:val="-58"/>
        </w:rPr>
        <w:object w:dxaOrig="2340" w:dyaOrig="1280">
          <v:shape id="_x0000_i1052" type="#_x0000_t75" style="width:117pt;height:63.5pt" o:ole="">
            <v:imagedata r:id="rId76" o:title=""/>
          </v:shape>
          <o:OLEObject Type="Embed" ProgID="Equation.DSMT4" ShapeID="_x0000_i1052" DrawAspect="Content" ObjectID="_1491237331" r:id="rId77"/>
        </w:object>
      </w:r>
      <w:r>
        <w:rPr>
          <w:rFonts w:eastAsiaTheme="minorEastAsia"/>
        </w:rPr>
        <w:tab/>
      </w:r>
      <w:r w:rsidR="00F84065">
        <w:rPr>
          <w:rFonts w:eastAsiaTheme="minorEastAsia"/>
        </w:rPr>
        <w:t>(33</w:t>
      </w:r>
      <w:r>
        <w:rPr>
          <w:rFonts w:eastAsiaTheme="minorEastAsia"/>
        </w:rPr>
        <w:t>)</w:t>
      </w:r>
    </w:p>
    <w:p w:rsidR="002012B9" w:rsidRDefault="002012B9" w:rsidP="00F21A62">
      <w:pPr>
        <w:pStyle w:val="EQ"/>
        <w:rPr>
          <w:rFonts w:eastAsiaTheme="minorEastAsia"/>
        </w:rPr>
      </w:pPr>
      <w:r>
        <w:rPr>
          <w:rFonts w:eastAsiaTheme="minorEastAsia"/>
        </w:rPr>
        <w:t>w</w:t>
      </w:r>
      <w:r w:rsidR="000333E5">
        <w:rPr>
          <w:rFonts w:eastAsiaTheme="minorEastAsia"/>
        </w:rPr>
        <w:t xml:space="preserve">here </w:t>
      </w:r>
      <w:r w:rsidR="000333E5" w:rsidRPr="002012B9">
        <w:rPr>
          <w:rFonts w:eastAsiaTheme="minorEastAsia"/>
          <w:i/>
        </w:rPr>
        <w:t>A</w:t>
      </w:r>
      <w:r w:rsidR="000333E5" w:rsidRPr="000333E5">
        <w:rPr>
          <w:rFonts w:eastAsiaTheme="minorEastAsia"/>
          <w:vertAlign w:val="subscript"/>
        </w:rPr>
        <w:t>0</w:t>
      </w:r>
      <w:r w:rsidR="000333E5">
        <w:rPr>
          <w:rFonts w:eastAsiaTheme="minorEastAsia"/>
        </w:rPr>
        <w:t xml:space="preserve"> and </w:t>
      </w:r>
      <w:r w:rsidR="000333E5" w:rsidRPr="002012B9">
        <w:rPr>
          <w:rFonts w:eastAsiaTheme="minorEastAsia"/>
          <w:i/>
        </w:rPr>
        <w:t>P</w:t>
      </w:r>
      <w:r w:rsidR="000333E5" w:rsidRPr="000333E5">
        <w:rPr>
          <w:rFonts w:eastAsiaTheme="minorEastAsia"/>
          <w:vertAlign w:val="subscript"/>
        </w:rPr>
        <w:t>0</w:t>
      </w:r>
      <w:r w:rsidR="000333E5">
        <w:rPr>
          <w:rFonts w:eastAsiaTheme="minorEastAsia"/>
        </w:rPr>
        <w:t xml:space="preserve"> are the initial concentrations of </w:t>
      </w:r>
      <w:r w:rsidR="000333E5" w:rsidRPr="002012B9">
        <w:rPr>
          <w:rFonts w:eastAsiaTheme="minorEastAsia"/>
          <w:i/>
        </w:rPr>
        <w:t>A</w:t>
      </w:r>
      <w:r w:rsidR="000333E5">
        <w:rPr>
          <w:rFonts w:eastAsiaTheme="minorEastAsia"/>
        </w:rPr>
        <w:t xml:space="preserve"> and </w:t>
      </w:r>
      <w:r w:rsidR="000333E5" w:rsidRPr="002012B9">
        <w:rPr>
          <w:rFonts w:eastAsiaTheme="minorEastAsia"/>
          <w:i/>
        </w:rPr>
        <w:t>P</w:t>
      </w:r>
      <w:r w:rsidR="000333E5">
        <w:rPr>
          <w:rFonts w:eastAsiaTheme="minorEastAsia"/>
        </w:rPr>
        <w:t>.  (</w:t>
      </w:r>
      <w:r w:rsidR="000333E5" w:rsidRPr="002012B9">
        <w:rPr>
          <w:rFonts w:eastAsiaTheme="minorEastAsia"/>
          <w:i/>
        </w:rPr>
        <w:t>A</w:t>
      </w:r>
      <w:r w:rsidR="000333E5" w:rsidRPr="002012B9">
        <w:rPr>
          <w:rFonts w:eastAsiaTheme="minorEastAsia"/>
          <w:vertAlign w:val="subscript"/>
        </w:rPr>
        <w:t>0</w:t>
      </w:r>
      <w:r>
        <w:rPr>
          <w:rFonts w:eastAsiaTheme="minorEastAsia"/>
          <w:vertAlign w:val="subscript"/>
        </w:rPr>
        <w:t xml:space="preserve"> </w:t>
      </w:r>
      <w:r w:rsidR="000333E5">
        <w:rPr>
          <w:rFonts w:eastAsiaTheme="minorEastAsia"/>
        </w:rPr>
        <w:t>-</w:t>
      </w:r>
      <w:r>
        <w:rPr>
          <w:rFonts w:eastAsiaTheme="minorEastAsia"/>
        </w:rPr>
        <w:t xml:space="preserve"> </w:t>
      </w:r>
      <w:r w:rsidR="000333E5" w:rsidRPr="002012B9">
        <w:rPr>
          <w:rFonts w:eastAsiaTheme="minorEastAsia"/>
          <w:i/>
        </w:rPr>
        <w:t>A</w:t>
      </w:r>
      <w:r w:rsidR="000333E5">
        <w:rPr>
          <w:rFonts w:eastAsiaTheme="minorEastAsia"/>
        </w:rPr>
        <w:t xml:space="preserve">) is the amount of </w:t>
      </w:r>
      <w:r w:rsidR="000333E5" w:rsidRPr="002012B9">
        <w:rPr>
          <w:rFonts w:eastAsiaTheme="minorEastAsia"/>
          <w:i/>
        </w:rPr>
        <w:t>A</w:t>
      </w:r>
      <w:r w:rsidR="000333E5">
        <w:rPr>
          <w:rFonts w:eastAsiaTheme="minorEastAsia"/>
        </w:rPr>
        <w:t xml:space="preserve"> consumed by the reaction.  Now, assume that the initial concentration of the product is zero, </w:t>
      </w:r>
      <w:r w:rsidR="000333E5" w:rsidRPr="002012B9">
        <w:rPr>
          <w:rFonts w:eastAsiaTheme="minorEastAsia"/>
          <w:i/>
        </w:rPr>
        <w:t>P</w:t>
      </w:r>
      <w:r w:rsidR="000333E5" w:rsidRPr="000333E5">
        <w:rPr>
          <w:rFonts w:eastAsiaTheme="minorEastAsia"/>
          <w:vertAlign w:val="subscript"/>
        </w:rPr>
        <w:t>0</w:t>
      </w:r>
      <w:r w:rsidR="000333E5">
        <w:rPr>
          <w:rFonts w:eastAsiaTheme="minorEastAsia"/>
        </w:rPr>
        <w:t>=0</w:t>
      </w:r>
      <w:r>
        <w:rPr>
          <w:rFonts w:eastAsiaTheme="minorEastAsia"/>
        </w:rPr>
        <w:t>, so</w:t>
      </w:r>
      <w:r w:rsidR="00216733">
        <w:rPr>
          <w:rFonts w:eastAsiaTheme="minorEastAsia"/>
        </w:rPr>
        <w:t xml:space="preserve"> from (</w:t>
      </w:r>
      <w:r w:rsidR="00453A16">
        <w:rPr>
          <w:rFonts w:eastAsiaTheme="minorEastAsia"/>
        </w:rPr>
        <w:t>33</w:t>
      </w:r>
      <w:r w:rsidR="00BD6645">
        <w:rPr>
          <w:rFonts w:eastAsiaTheme="minorEastAsia"/>
        </w:rPr>
        <w:t>)</w:t>
      </w:r>
    </w:p>
    <w:p w:rsidR="000333E5" w:rsidRDefault="002012B9" w:rsidP="00F21A62">
      <w:pPr>
        <w:pStyle w:val="EQ"/>
        <w:rPr>
          <w:rFonts w:eastAsiaTheme="minorEastAsia"/>
        </w:rPr>
      </w:pPr>
      <w:r>
        <w:rPr>
          <w:rFonts w:eastAsiaTheme="minorEastAsia"/>
        </w:rPr>
        <w:tab/>
      </w:r>
      <w:r w:rsidRPr="002012B9">
        <w:rPr>
          <w:rFonts w:eastAsiaTheme="minorEastAsia"/>
          <w:position w:val="-12"/>
        </w:rPr>
        <w:object w:dxaOrig="1300" w:dyaOrig="360">
          <v:shape id="_x0000_i1053" type="#_x0000_t75" style="width:65.5pt;height:18pt" o:ole="">
            <v:imagedata r:id="rId78" o:title=""/>
          </v:shape>
          <o:OLEObject Type="Embed" ProgID="Equation.DSMT4" ShapeID="_x0000_i1053" DrawAspect="Content" ObjectID="_1491237332" r:id="rId79"/>
        </w:object>
      </w:r>
      <w:r>
        <w:rPr>
          <w:rFonts w:eastAsiaTheme="minorEastAsia"/>
        </w:rPr>
        <w:tab/>
      </w:r>
      <w:r w:rsidR="00216733">
        <w:rPr>
          <w:rFonts w:eastAsiaTheme="minorEastAsia"/>
        </w:rPr>
        <w:t>(</w:t>
      </w:r>
      <w:r w:rsidR="00453A16">
        <w:rPr>
          <w:rFonts w:eastAsiaTheme="minorEastAsia"/>
        </w:rPr>
        <w:t>34</w:t>
      </w:r>
      <w:r>
        <w:rPr>
          <w:rFonts w:eastAsiaTheme="minorEastAsia"/>
        </w:rPr>
        <w:t>)</w:t>
      </w:r>
    </w:p>
    <w:p w:rsidR="002012B9" w:rsidRDefault="002012B9" w:rsidP="00F21A62">
      <w:pPr>
        <w:pStyle w:val="EQ"/>
        <w:rPr>
          <w:rFonts w:eastAsiaTheme="minorEastAsia"/>
        </w:rPr>
      </w:pPr>
      <w:r>
        <w:rPr>
          <w:rFonts w:eastAsiaTheme="minorEastAsia"/>
        </w:rPr>
        <w:t xml:space="preserve">and similarly with </w:t>
      </w:r>
      <w:r w:rsidRPr="002012B9">
        <w:rPr>
          <w:rFonts w:eastAsiaTheme="minorEastAsia"/>
          <w:i/>
        </w:rPr>
        <w:t>B</w:t>
      </w:r>
    </w:p>
    <w:p w:rsidR="000333E5" w:rsidRDefault="002012B9" w:rsidP="00F21A62">
      <w:pPr>
        <w:pStyle w:val="EQ"/>
        <w:rPr>
          <w:rFonts w:eastAsiaTheme="minorEastAsia"/>
        </w:rPr>
      </w:pPr>
      <w:r>
        <w:rPr>
          <w:rFonts w:eastAsiaTheme="minorEastAsia"/>
        </w:rPr>
        <w:tab/>
      </w:r>
      <w:r w:rsidRPr="002012B9">
        <w:rPr>
          <w:rFonts w:eastAsiaTheme="minorEastAsia"/>
          <w:position w:val="-12"/>
        </w:rPr>
        <w:object w:dxaOrig="1160" w:dyaOrig="360">
          <v:shape id="_x0000_i1054" type="#_x0000_t75" style="width:58pt;height:18pt" o:ole="">
            <v:imagedata r:id="rId80" o:title=""/>
          </v:shape>
          <o:OLEObject Type="Embed" ProgID="Equation.DSMT4" ShapeID="_x0000_i1054" DrawAspect="Content" ObjectID="_1491237333" r:id="rId81"/>
        </w:object>
      </w:r>
      <w:r>
        <w:rPr>
          <w:rFonts w:eastAsiaTheme="minorEastAsia"/>
        </w:rPr>
        <w:tab/>
      </w:r>
      <w:r w:rsidR="00216733">
        <w:rPr>
          <w:rFonts w:eastAsiaTheme="minorEastAsia"/>
        </w:rPr>
        <w:t>(</w:t>
      </w:r>
      <w:r w:rsidR="00453A16">
        <w:rPr>
          <w:rFonts w:eastAsiaTheme="minorEastAsia"/>
        </w:rPr>
        <w:t>35</w:t>
      </w:r>
      <w:r>
        <w:rPr>
          <w:rFonts w:eastAsiaTheme="minorEastAsia"/>
        </w:rPr>
        <w:t>)</w:t>
      </w:r>
    </w:p>
    <w:p w:rsidR="000333E5" w:rsidRDefault="000333E5" w:rsidP="00F21A62">
      <w:pPr>
        <w:rPr>
          <w:rFonts w:eastAsiaTheme="minorEastAsia"/>
        </w:rPr>
      </w:pPr>
      <w:r>
        <w:rPr>
          <w:rFonts w:eastAsiaTheme="minorEastAsia"/>
        </w:rPr>
        <w:t xml:space="preserve">Now assume that </w:t>
      </w:r>
      <w:r w:rsidR="002012B9">
        <w:rPr>
          <w:rFonts w:eastAsiaTheme="minorEastAsia"/>
          <w:i/>
        </w:rPr>
        <w:t>A</w:t>
      </w:r>
      <w:r>
        <w:rPr>
          <w:rFonts w:eastAsiaTheme="minorEastAsia"/>
        </w:rPr>
        <w:t xml:space="preserve"> is abundant and the reaction is limited by the concentration of </w:t>
      </w:r>
      <w:r w:rsidR="002012B9">
        <w:rPr>
          <w:rFonts w:eastAsiaTheme="minorEastAsia"/>
          <w:i/>
        </w:rPr>
        <w:t>B</w:t>
      </w:r>
      <w:r>
        <w:rPr>
          <w:rFonts w:eastAsiaTheme="minorEastAsia"/>
        </w:rPr>
        <w:t>.</w:t>
      </w:r>
      <w:r w:rsidR="002012B9">
        <w:rPr>
          <w:rFonts w:eastAsiaTheme="minorEastAsia"/>
        </w:rPr>
        <w:t xml:space="preserve">  As a result, </w:t>
      </w:r>
      <w:r w:rsidR="002012B9" w:rsidRPr="002012B9">
        <w:rPr>
          <w:rFonts w:eastAsiaTheme="minorEastAsia"/>
          <w:i/>
        </w:rPr>
        <w:t>P</w:t>
      </w:r>
      <w:r w:rsidR="002012B9">
        <w:rPr>
          <w:rFonts w:eastAsiaTheme="minorEastAsia"/>
        </w:rPr>
        <w:t xml:space="preserve"> is much smaller than </w:t>
      </w:r>
      <w:r w:rsidR="002012B9">
        <w:rPr>
          <w:rFonts w:eastAsiaTheme="minorEastAsia"/>
          <w:i/>
        </w:rPr>
        <w:t>A</w:t>
      </w:r>
      <w:r w:rsidR="00F21A62">
        <w:rPr>
          <w:rFonts w:eastAsiaTheme="minorEastAsia"/>
        </w:rPr>
        <w:t>, so (</w:t>
      </w:r>
      <w:r w:rsidR="00453A16">
        <w:rPr>
          <w:rFonts w:eastAsiaTheme="minorEastAsia"/>
        </w:rPr>
        <w:t>34</w:t>
      </w:r>
      <w:r w:rsidR="002012B9">
        <w:rPr>
          <w:rFonts w:eastAsiaTheme="minorEastAsia"/>
        </w:rPr>
        <w:t>) becomes</w:t>
      </w:r>
      <w:r>
        <w:rPr>
          <w:rFonts w:eastAsiaTheme="minorEastAsia"/>
        </w:rPr>
        <w:t xml:space="preserve">  </w:t>
      </w:r>
    </w:p>
    <w:p w:rsidR="000333E5" w:rsidRDefault="002012B9" w:rsidP="00F21A62">
      <w:pPr>
        <w:pStyle w:val="EQ"/>
        <w:rPr>
          <w:rFonts w:eastAsiaTheme="minorEastAsia"/>
        </w:rPr>
      </w:pPr>
      <w:r>
        <w:rPr>
          <w:rFonts w:eastAsiaTheme="minorEastAsia"/>
        </w:rPr>
        <w:tab/>
      </w:r>
      <w:r w:rsidRPr="002012B9">
        <w:rPr>
          <w:rFonts w:eastAsiaTheme="minorEastAsia"/>
          <w:position w:val="-12"/>
        </w:rPr>
        <w:object w:dxaOrig="800" w:dyaOrig="360">
          <v:shape id="_x0000_i1055" type="#_x0000_t75" style="width:40pt;height:18pt" o:ole="">
            <v:imagedata r:id="rId82" o:title=""/>
          </v:shape>
          <o:OLEObject Type="Embed" ProgID="Equation.DSMT4" ShapeID="_x0000_i1055" DrawAspect="Content" ObjectID="_1491237334" r:id="rId83"/>
        </w:object>
      </w:r>
      <w:r>
        <w:rPr>
          <w:rFonts w:eastAsiaTheme="minorEastAsia"/>
        </w:rPr>
        <w:tab/>
      </w:r>
      <w:r w:rsidR="00216733">
        <w:rPr>
          <w:rFonts w:eastAsiaTheme="minorEastAsia"/>
        </w:rPr>
        <w:t>(</w:t>
      </w:r>
      <w:r w:rsidR="00453A16">
        <w:rPr>
          <w:rFonts w:eastAsiaTheme="minorEastAsia"/>
        </w:rPr>
        <w:t>36</w:t>
      </w:r>
      <w:r>
        <w:rPr>
          <w:rFonts w:eastAsiaTheme="minorEastAsia"/>
        </w:rPr>
        <w:t>)</w:t>
      </w:r>
    </w:p>
    <w:p w:rsidR="002012B9" w:rsidRDefault="000A29F6" w:rsidP="00F21A62">
      <w:pPr>
        <w:pStyle w:val="EQ"/>
        <w:rPr>
          <w:rFonts w:eastAsiaTheme="minorEastAsia"/>
        </w:rPr>
      </w:pPr>
      <w:r>
        <w:rPr>
          <w:rFonts w:eastAsiaTheme="minorEastAsia"/>
        </w:rPr>
        <w:lastRenderedPageBreak/>
        <w:t>Substituting (</w:t>
      </w:r>
      <w:r w:rsidR="00453A16">
        <w:rPr>
          <w:rFonts w:eastAsiaTheme="minorEastAsia"/>
        </w:rPr>
        <w:t>35</w:t>
      </w:r>
      <w:r>
        <w:rPr>
          <w:rFonts w:eastAsiaTheme="minorEastAsia"/>
        </w:rPr>
        <w:t>) and (</w:t>
      </w:r>
      <w:r w:rsidR="00453A16">
        <w:rPr>
          <w:rFonts w:eastAsiaTheme="minorEastAsia"/>
        </w:rPr>
        <w:t>36</w:t>
      </w:r>
      <w:r w:rsidR="002012B9">
        <w:rPr>
          <w:rFonts w:eastAsiaTheme="minorEastAsia"/>
        </w:rPr>
        <w:t>) into (</w:t>
      </w:r>
      <w:r w:rsidR="00453A16">
        <w:rPr>
          <w:rFonts w:eastAsiaTheme="minorEastAsia"/>
        </w:rPr>
        <w:t>32</w:t>
      </w:r>
      <w:r w:rsidR="002012B9">
        <w:rPr>
          <w:rFonts w:eastAsiaTheme="minorEastAsia"/>
        </w:rPr>
        <w:t>4) gives</w:t>
      </w:r>
    </w:p>
    <w:p w:rsidR="000333E5" w:rsidRDefault="000A29F6" w:rsidP="00F21A62">
      <w:pPr>
        <w:pStyle w:val="EQ"/>
        <w:rPr>
          <w:rFonts w:eastAsiaTheme="minorEastAsia"/>
        </w:rPr>
      </w:pPr>
      <w:r>
        <w:rPr>
          <w:rFonts w:eastAsiaTheme="minorEastAsia"/>
        </w:rPr>
        <w:tab/>
      </w:r>
      <w:r w:rsidRPr="000333E5">
        <w:rPr>
          <w:rFonts w:eastAsiaTheme="minorEastAsia"/>
          <w:position w:val="-24"/>
        </w:rPr>
        <w:object w:dxaOrig="2079" w:dyaOrig="620">
          <v:shape id="_x0000_i1056" type="#_x0000_t75" style="width:104.5pt;height:31pt" o:ole="">
            <v:imagedata r:id="rId84" o:title=""/>
          </v:shape>
          <o:OLEObject Type="Embed" ProgID="Equation.DSMT4" ShapeID="_x0000_i1056" DrawAspect="Content" ObjectID="_1491237335" r:id="rId85"/>
        </w:object>
      </w:r>
      <w:r>
        <w:rPr>
          <w:rFonts w:eastAsiaTheme="minorEastAsia"/>
        </w:rPr>
        <w:tab/>
      </w:r>
      <w:r w:rsidR="00216733">
        <w:rPr>
          <w:rFonts w:eastAsiaTheme="minorEastAsia"/>
        </w:rPr>
        <w:t>(</w:t>
      </w:r>
      <w:r w:rsidR="00453A16">
        <w:rPr>
          <w:rFonts w:eastAsiaTheme="minorEastAsia"/>
        </w:rPr>
        <w:t>37</w:t>
      </w:r>
      <w:r>
        <w:rPr>
          <w:rFonts w:eastAsiaTheme="minorEastAsia"/>
        </w:rPr>
        <w:t>)</w:t>
      </w:r>
    </w:p>
    <w:p w:rsidR="000A29F6" w:rsidRDefault="000A29F6" w:rsidP="00F21A62">
      <w:pPr>
        <w:ind w:firstLine="0"/>
        <w:rPr>
          <w:rFonts w:eastAsiaTheme="minorEastAsia"/>
        </w:rPr>
      </w:pPr>
      <w:r>
        <w:rPr>
          <w:rFonts w:eastAsiaTheme="minorEastAsia"/>
        </w:rPr>
        <w:t xml:space="preserve">This first term in parenthesis is constant, so the reaction is first-order in </w:t>
      </w:r>
      <w:r w:rsidRPr="000A29F6">
        <w:rPr>
          <w:rFonts w:eastAsiaTheme="minorEastAsia"/>
          <w:i/>
        </w:rPr>
        <w:t>P</w:t>
      </w:r>
      <w:r>
        <w:rPr>
          <w:rFonts w:eastAsiaTheme="minorEastAsia"/>
        </w:rPr>
        <w:t>.</w:t>
      </w:r>
      <w:r w:rsidR="00216733">
        <w:rPr>
          <w:rFonts w:eastAsiaTheme="minorEastAsia"/>
        </w:rPr>
        <w:t xml:space="preserve">  You can tell this by comparing (</w:t>
      </w:r>
      <w:r w:rsidR="00453A16">
        <w:rPr>
          <w:rFonts w:eastAsiaTheme="minorEastAsia"/>
        </w:rPr>
        <w:t>37</w:t>
      </w:r>
      <w:r w:rsidR="00216733">
        <w:rPr>
          <w:rFonts w:eastAsiaTheme="minorEastAsia"/>
        </w:rPr>
        <w:t>) to (</w:t>
      </w:r>
      <w:r w:rsidR="00453A16">
        <w:rPr>
          <w:rFonts w:eastAsiaTheme="minorEastAsia"/>
        </w:rPr>
        <w:t>25</w:t>
      </w:r>
      <w:r w:rsidR="00216733">
        <w:rPr>
          <w:rFonts w:eastAsiaTheme="minorEastAsia"/>
        </w:rPr>
        <w:t>).  Integrating (</w:t>
      </w:r>
      <w:r w:rsidR="00453A16">
        <w:rPr>
          <w:rFonts w:eastAsiaTheme="minorEastAsia"/>
        </w:rPr>
        <w:t>37</w:t>
      </w:r>
      <w:r w:rsidR="00216733">
        <w:rPr>
          <w:rFonts w:eastAsiaTheme="minorEastAsia"/>
        </w:rPr>
        <w:t>) will give equations with the same form as (2</w:t>
      </w:r>
      <w:r w:rsidR="00453A16">
        <w:rPr>
          <w:rFonts w:eastAsiaTheme="minorEastAsia"/>
        </w:rPr>
        <w:t>7</w:t>
      </w:r>
      <w:r w:rsidR="00216733">
        <w:rPr>
          <w:rFonts w:eastAsiaTheme="minorEastAsia"/>
        </w:rPr>
        <w:t xml:space="preserve">).  </w:t>
      </w:r>
      <w:r>
        <w:rPr>
          <w:rFonts w:eastAsiaTheme="minorEastAsia"/>
        </w:rPr>
        <w:t xml:space="preserve">  </w:t>
      </w:r>
    </w:p>
    <w:p w:rsidR="00BD6645" w:rsidRPr="000A29F6" w:rsidRDefault="00BD6645" w:rsidP="00F21A62">
      <w:pPr>
        <w:ind w:firstLine="0"/>
        <w:rPr>
          <w:rFonts w:eastAsiaTheme="minorEastAsia"/>
        </w:rPr>
      </w:pPr>
      <w:r>
        <w:rPr>
          <w:rFonts w:eastAsiaTheme="minorEastAsia"/>
        </w:rPr>
        <w:t xml:space="preserve">This example shows how </w:t>
      </w:r>
      <w:r w:rsidR="00216733">
        <w:rPr>
          <w:rFonts w:eastAsiaTheme="minorEastAsia"/>
        </w:rPr>
        <w:t>a reaction with potentially complicated kinetics may behave with kinetics that behave similarly to a first-order reaction.  This behavior is common because there are many cases where one of the reactants is limiting the reaction</w:t>
      </w:r>
      <w:r w:rsidR="00453A16">
        <w:rPr>
          <w:rFonts w:eastAsiaTheme="minorEastAsia"/>
        </w:rPr>
        <w:t xml:space="preserve"> rate</w:t>
      </w:r>
      <w:r w:rsidR="00216733">
        <w:rPr>
          <w:rFonts w:eastAsiaTheme="minorEastAsia"/>
        </w:rPr>
        <w:t xml:space="preserve">, as </w:t>
      </w:r>
      <w:r w:rsidR="00216733" w:rsidRPr="00216733">
        <w:rPr>
          <w:rFonts w:eastAsiaTheme="minorEastAsia"/>
          <w:i/>
        </w:rPr>
        <w:t>B</w:t>
      </w:r>
      <w:r w:rsidR="00216733">
        <w:rPr>
          <w:rFonts w:eastAsiaTheme="minorEastAsia"/>
        </w:rPr>
        <w:t xml:space="preserve"> limits it above.  </w:t>
      </w:r>
    </w:p>
    <w:p w:rsidR="00216733" w:rsidRDefault="00216733" w:rsidP="00F21A62">
      <w:pPr>
        <w:pStyle w:val="EQ"/>
        <w:rPr>
          <w:rFonts w:eastAsiaTheme="minorEastAsia"/>
        </w:rPr>
      </w:pPr>
      <w:r>
        <w:rPr>
          <w:rFonts w:eastAsiaTheme="minorEastAsia"/>
        </w:rPr>
        <w:t xml:space="preserve">All of the reactants in the reactions outlined above will be consumed completely and the products will </w:t>
      </w:r>
      <w:r w:rsidR="00453A16">
        <w:rPr>
          <w:rFonts w:eastAsiaTheme="minorEastAsia"/>
        </w:rPr>
        <w:t>form in</w:t>
      </w:r>
      <w:r>
        <w:rPr>
          <w:rFonts w:eastAsiaTheme="minorEastAsia"/>
        </w:rPr>
        <w:t xml:space="preserve"> concentration</w:t>
      </w:r>
      <w:r w:rsidR="00453A16">
        <w:rPr>
          <w:rFonts w:eastAsiaTheme="minorEastAsia"/>
        </w:rPr>
        <w:t>s</w:t>
      </w:r>
      <w:r>
        <w:rPr>
          <w:rFonts w:eastAsiaTheme="minorEastAsia"/>
        </w:rPr>
        <w:t xml:space="preserve"> </w:t>
      </w:r>
      <w:r w:rsidR="00407EA8">
        <w:rPr>
          <w:rFonts w:eastAsiaTheme="minorEastAsia"/>
        </w:rPr>
        <w:t xml:space="preserve">directly in proportion to the reactants.  </w:t>
      </w:r>
    </w:p>
    <w:p w:rsidR="00DE796A" w:rsidRDefault="00DE796A" w:rsidP="00DE796A">
      <w:pPr>
        <w:pStyle w:val="Heading3"/>
        <w:rPr>
          <w:rFonts w:eastAsiaTheme="minorEastAsia"/>
        </w:rPr>
      </w:pPr>
      <w:r w:rsidRPr="00DE796A">
        <w:rPr>
          <w:rFonts w:eastAsiaTheme="minorEastAsia"/>
        </w:rPr>
        <w:t>Reversible Reactions</w:t>
      </w:r>
    </w:p>
    <w:p w:rsidR="00DE796A" w:rsidRDefault="00DE796A" w:rsidP="00DE796A">
      <w:pPr>
        <w:rPr>
          <w:rFonts w:eastAsiaTheme="minorEastAsia"/>
        </w:rPr>
      </w:pPr>
      <w:r>
        <w:rPr>
          <w:rFonts w:eastAsiaTheme="minorEastAsia"/>
        </w:rPr>
        <w:t>Some reacti</w:t>
      </w:r>
      <w:r w:rsidR="00407EA8">
        <w:rPr>
          <w:rFonts w:eastAsiaTheme="minorEastAsia"/>
        </w:rPr>
        <w:t>ons proceed until the products and reactants change from some initial values to a new equilibrium concentration.  This occurs because the reactions occur both in the forward direction, as outlined above, and in the reverse direction, such as</w:t>
      </w:r>
    </w:p>
    <w:p w:rsidR="00407EA8" w:rsidRPr="0071180B" w:rsidRDefault="0071180B" w:rsidP="0071180B">
      <w:pPr>
        <w:pStyle w:val="EQ"/>
        <w:rPr>
          <w:rFonts w:eastAsiaTheme="minorEastAsia"/>
        </w:rPr>
      </w:pPr>
      <w:r>
        <w:rPr>
          <w:rFonts w:eastAsiaTheme="minorEastAsia"/>
        </w:rPr>
        <w:tab/>
      </w:r>
      <w:r w:rsidR="00407EA8" w:rsidRPr="00407EA8">
        <w:rPr>
          <w:rFonts w:eastAsiaTheme="minorEastAsia"/>
          <w:position w:val="-14"/>
        </w:rPr>
        <w:object w:dxaOrig="1140" w:dyaOrig="400">
          <v:shape id="_x0000_i1057" type="#_x0000_t75" style="width:57pt;height:20.5pt" o:ole="">
            <v:imagedata r:id="rId86" o:title=""/>
          </v:shape>
          <o:OLEObject Type="Embed" ProgID="Equation.DSMT4" ShapeID="_x0000_i1057" DrawAspect="Content" ObjectID="_1491237336" r:id="rId87"/>
        </w:object>
      </w:r>
      <w:r w:rsidR="00453A16">
        <w:rPr>
          <w:rFonts w:eastAsiaTheme="minorEastAsia"/>
        </w:rPr>
        <w:tab/>
        <w:t>(38</w:t>
      </w:r>
      <w:r>
        <w:rPr>
          <w:rFonts w:eastAsiaTheme="minorEastAsia"/>
        </w:rPr>
        <w:t>)</w:t>
      </w:r>
    </w:p>
    <w:p w:rsidR="00407EA8" w:rsidRDefault="00407EA8" w:rsidP="00407EA8">
      <w:pPr>
        <w:pStyle w:val="EQ"/>
        <w:rPr>
          <w:rFonts w:eastAsiaTheme="minorEastAsia"/>
        </w:rPr>
      </w:pPr>
      <w:r>
        <w:rPr>
          <w:rFonts w:eastAsiaTheme="minorEastAsia"/>
        </w:rPr>
        <w:t xml:space="preserve">There are two reaction rates, one forward and the other backward, so  </w:t>
      </w:r>
      <w:r w:rsidR="0071180B">
        <w:rPr>
          <w:rFonts w:eastAsiaTheme="minorEastAsia"/>
        </w:rPr>
        <w:tab/>
      </w:r>
    </w:p>
    <w:p w:rsidR="00407EA8" w:rsidRPr="00DE796A" w:rsidRDefault="0071180B" w:rsidP="0071180B">
      <w:pPr>
        <w:pStyle w:val="EQ"/>
        <w:rPr>
          <w:rFonts w:eastAsiaTheme="minorEastAsia"/>
        </w:rPr>
      </w:pPr>
      <w:r>
        <w:rPr>
          <w:rFonts w:eastAsiaTheme="minorEastAsia"/>
        </w:rPr>
        <w:tab/>
      </w:r>
      <w:r w:rsidR="00453A16" w:rsidRPr="00407EA8">
        <w:rPr>
          <w:rFonts w:eastAsiaTheme="minorEastAsia"/>
          <w:position w:val="-58"/>
        </w:rPr>
        <w:object w:dxaOrig="5600" w:dyaOrig="1280">
          <v:shape id="_x0000_i1058" type="#_x0000_t75" style="width:279.5pt;height:63.5pt" o:ole="">
            <v:imagedata r:id="rId88" o:title=""/>
          </v:shape>
          <o:OLEObject Type="Embed" ProgID="Equation.DSMT4" ShapeID="_x0000_i1058" DrawAspect="Content" ObjectID="_1491237337" r:id="rId89"/>
        </w:object>
      </w:r>
      <w:r w:rsidR="00453A16">
        <w:rPr>
          <w:rFonts w:eastAsiaTheme="minorEastAsia"/>
        </w:rPr>
        <w:tab/>
        <w:t>(39</w:t>
      </w:r>
      <w:r>
        <w:rPr>
          <w:rFonts w:eastAsiaTheme="minorEastAsia"/>
        </w:rPr>
        <w:t>)</w:t>
      </w:r>
    </w:p>
    <w:p w:rsidR="00DE796A" w:rsidRDefault="00407EA8" w:rsidP="00407EA8">
      <w:pPr>
        <w:ind w:firstLine="0"/>
        <w:rPr>
          <w:rFonts w:eastAsiaTheme="minorEastAsia"/>
        </w:rPr>
      </w:pPr>
      <w:r>
        <w:rPr>
          <w:rFonts w:eastAsiaTheme="minorEastAsia"/>
        </w:rPr>
        <w:t>and combining</w:t>
      </w:r>
    </w:p>
    <w:p w:rsidR="00407EA8" w:rsidRDefault="0071180B" w:rsidP="0071180B">
      <w:pPr>
        <w:pStyle w:val="EQ"/>
        <w:rPr>
          <w:rFonts w:eastAsiaTheme="minorEastAsia"/>
        </w:rPr>
      </w:pPr>
      <w:r>
        <w:rPr>
          <w:rFonts w:eastAsiaTheme="minorEastAsia"/>
        </w:rPr>
        <w:tab/>
      </w:r>
      <w:r w:rsidR="00453A16" w:rsidRPr="00407EA8">
        <w:rPr>
          <w:rFonts w:eastAsiaTheme="minorEastAsia"/>
          <w:position w:val="-24"/>
        </w:rPr>
        <w:object w:dxaOrig="1700" w:dyaOrig="620">
          <v:shape id="_x0000_i1059" type="#_x0000_t75" style="width:84.5pt;height:31pt" o:ole="">
            <v:imagedata r:id="rId90" o:title=""/>
          </v:shape>
          <o:OLEObject Type="Embed" ProgID="Equation.DSMT4" ShapeID="_x0000_i1059" DrawAspect="Content" ObjectID="_1491237338" r:id="rId91"/>
        </w:object>
      </w:r>
      <w:r w:rsidR="00453A16">
        <w:rPr>
          <w:rFonts w:eastAsiaTheme="minorEastAsia"/>
        </w:rPr>
        <w:tab/>
        <w:t>(40</w:t>
      </w:r>
      <w:r>
        <w:rPr>
          <w:rFonts w:eastAsiaTheme="minorEastAsia"/>
        </w:rPr>
        <w:t>)</w:t>
      </w:r>
    </w:p>
    <w:p w:rsidR="00407EA8" w:rsidRDefault="00407EA8" w:rsidP="00407EA8">
      <w:pPr>
        <w:pStyle w:val="EQ"/>
        <w:rPr>
          <w:rFonts w:eastAsiaTheme="minorEastAsia"/>
        </w:rPr>
      </w:pPr>
      <w:r>
        <w:rPr>
          <w:rFonts w:eastAsiaTheme="minorEastAsia"/>
        </w:rPr>
        <w:t>The rate of production of</w:t>
      </w:r>
      <w:r w:rsidRPr="00D44EB9">
        <w:rPr>
          <w:rFonts w:eastAsiaTheme="minorEastAsia"/>
          <w:i/>
        </w:rPr>
        <w:t xml:space="preserve"> B</w:t>
      </w:r>
      <w:r>
        <w:rPr>
          <w:rFonts w:eastAsiaTheme="minorEastAsia"/>
        </w:rPr>
        <w:t xml:space="preserve"> is</w:t>
      </w:r>
    </w:p>
    <w:p w:rsidR="00407EA8" w:rsidRDefault="0071180B" w:rsidP="0071180B">
      <w:pPr>
        <w:pStyle w:val="EQ"/>
        <w:rPr>
          <w:rFonts w:eastAsiaTheme="minorEastAsia"/>
        </w:rPr>
      </w:pPr>
      <w:r>
        <w:rPr>
          <w:rFonts w:eastAsiaTheme="minorEastAsia"/>
        </w:rPr>
        <w:tab/>
      </w:r>
      <w:r w:rsidR="00407EA8" w:rsidRPr="00407EA8">
        <w:rPr>
          <w:rFonts w:eastAsiaTheme="minorEastAsia"/>
          <w:position w:val="-24"/>
        </w:rPr>
        <w:object w:dxaOrig="1100" w:dyaOrig="620">
          <v:shape id="_x0000_i1060" type="#_x0000_t75" style="width:54.5pt;height:31pt" o:ole="">
            <v:imagedata r:id="rId92" o:title=""/>
          </v:shape>
          <o:OLEObject Type="Embed" ProgID="Equation.DSMT4" ShapeID="_x0000_i1060" DrawAspect="Content" ObjectID="_1491237339" r:id="rId93"/>
        </w:object>
      </w:r>
      <w:r w:rsidR="00453A16">
        <w:rPr>
          <w:rFonts w:eastAsiaTheme="minorEastAsia"/>
        </w:rPr>
        <w:tab/>
        <w:t>(41</w:t>
      </w:r>
      <w:r>
        <w:rPr>
          <w:rFonts w:eastAsiaTheme="minorEastAsia"/>
        </w:rPr>
        <w:t>)</w:t>
      </w:r>
    </w:p>
    <w:p w:rsidR="00407EA8" w:rsidRPr="00DE796A" w:rsidRDefault="00407EA8" w:rsidP="00407EA8">
      <w:pPr>
        <w:pStyle w:val="EQ"/>
        <w:rPr>
          <w:rFonts w:eastAsiaTheme="minorEastAsia"/>
        </w:rPr>
      </w:pPr>
      <w:r>
        <w:rPr>
          <w:rFonts w:eastAsiaTheme="minorEastAsia"/>
        </w:rPr>
        <w:t>so</w:t>
      </w:r>
    </w:p>
    <w:p w:rsidR="009B041E" w:rsidRDefault="0071180B" w:rsidP="0071180B">
      <w:pPr>
        <w:pStyle w:val="EQ"/>
        <w:rPr>
          <w:rFonts w:eastAsiaTheme="minorEastAsia"/>
        </w:rPr>
      </w:pPr>
      <w:r>
        <w:rPr>
          <w:rFonts w:eastAsiaTheme="minorEastAsia"/>
        </w:rPr>
        <w:tab/>
      </w:r>
      <w:r w:rsidR="00C07B16" w:rsidRPr="00D44EB9">
        <w:rPr>
          <w:rFonts w:eastAsiaTheme="minorEastAsia"/>
          <w:position w:val="-24"/>
        </w:rPr>
        <w:object w:dxaOrig="1579" w:dyaOrig="620">
          <v:shape id="_x0000_i1061" type="#_x0000_t75" style="width:78.5pt;height:31pt" o:ole="">
            <v:imagedata r:id="rId94" o:title=""/>
          </v:shape>
          <o:OLEObject Type="Embed" ProgID="Equation.DSMT4" ShapeID="_x0000_i1061" DrawAspect="Content" ObjectID="_1491237340" r:id="rId95"/>
        </w:object>
      </w:r>
      <w:r w:rsidR="00453A16">
        <w:rPr>
          <w:rFonts w:eastAsiaTheme="minorEastAsia"/>
        </w:rPr>
        <w:tab/>
        <w:t>(42</w:t>
      </w:r>
      <w:r>
        <w:rPr>
          <w:rFonts w:eastAsiaTheme="minorEastAsia"/>
        </w:rPr>
        <w:t>)</w:t>
      </w:r>
    </w:p>
    <w:p w:rsidR="009B041E" w:rsidRDefault="00D44EB9" w:rsidP="009B041E">
      <w:pPr>
        <w:pStyle w:val="EQ"/>
        <w:rPr>
          <w:rFonts w:eastAsiaTheme="minorEastAsia"/>
        </w:rPr>
      </w:pPr>
      <w:r>
        <w:rPr>
          <w:rFonts w:eastAsiaTheme="minorEastAsia"/>
        </w:rPr>
        <w:t xml:space="preserve">This gives two kinetic equations for the two unknowns, </w:t>
      </w:r>
      <w:r w:rsidRPr="00453A16">
        <w:rPr>
          <w:rFonts w:eastAsiaTheme="minorEastAsia"/>
          <w:i/>
        </w:rPr>
        <w:t>A</w:t>
      </w:r>
      <w:r>
        <w:rPr>
          <w:rFonts w:eastAsiaTheme="minorEastAsia"/>
        </w:rPr>
        <w:t xml:space="preserve"> and </w:t>
      </w:r>
      <w:r w:rsidRPr="00453A16">
        <w:rPr>
          <w:rFonts w:eastAsiaTheme="minorEastAsia"/>
          <w:i/>
        </w:rPr>
        <w:t>B</w:t>
      </w:r>
      <w:r>
        <w:rPr>
          <w:rFonts w:eastAsiaTheme="minorEastAsia"/>
        </w:rPr>
        <w:t xml:space="preserve">.  Using </w:t>
      </w:r>
    </w:p>
    <w:p w:rsidR="00D44EB9" w:rsidRDefault="0071180B" w:rsidP="0071180B">
      <w:pPr>
        <w:pStyle w:val="EQ"/>
        <w:rPr>
          <w:rFonts w:eastAsiaTheme="minorEastAsia"/>
        </w:rPr>
      </w:pPr>
      <w:r>
        <w:rPr>
          <w:rFonts w:eastAsiaTheme="minorEastAsia"/>
        </w:rPr>
        <w:lastRenderedPageBreak/>
        <w:tab/>
      </w:r>
      <w:r w:rsidR="00D44EB9" w:rsidRPr="00D44EB9">
        <w:rPr>
          <w:rFonts w:eastAsiaTheme="minorEastAsia"/>
          <w:position w:val="-48"/>
        </w:rPr>
        <w:object w:dxaOrig="1880" w:dyaOrig="1120">
          <v:shape id="_x0000_i1062" type="#_x0000_t75" style="width:93.5pt;height:56pt" o:ole="">
            <v:imagedata r:id="rId96" o:title=""/>
          </v:shape>
          <o:OLEObject Type="Embed" ProgID="Equation.DSMT4" ShapeID="_x0000_i1062" DrawAspect="Content" ObjectID="_1491237341" r:id="rId97"/>
        </w:object>
      </w:r>
    </w:p>
    <w:p w:rsidR="00D44EB9" w:rsidRDefault="0071180B" w:rsidP="009B041E">
      <w:pPr>
        <w:pStyle w:val="EQ"/>
      </w:pPr>
      <w:r>
        <w:t>gives</w:t>
      </w:r>
      <w:r>
        <w:tab/>
      </w:r>
    </w:p>
    <w:p w:rsidR="009B041E" w:rsidRDefault="0071180B" w:rsidP="0071180B">
      <w:pPr>
        <w:pStyle w:val="EQ"/>
        <w:rPr>
          <w:rFonts w:eastAsiaTheme="minorEastAsia"/>
        </w:rPr>
      </w:pPr>
      <w:r>
        <w:rPr>
          <w:rFonts w:eastAsiaTheme="minorEastAsia"/>
        </w:rPr>
        <w:tab/>
      </w:r>
      <w:r w:rsidR="00C07B16" w:rsidRPr="00407EA8">
        <w:rPr>
          <w:rFonts w:eastAsiaTheme="minorEastAsia"/>
          <w:position w:val="-24"/>
        </w:rPr>
        <w:object w:dxaOrig="4400" w:dyaOrig="620">
          <v:shape id="_x0000_i1063" type="#_x0000_t75" style="width:220pt;height:31pt" o:ole="">
            <v:imagedata r:id="rId98" o:title=""/>
          </v:shape>
          <o:OLEObject Type="Embed" ProgID="Equation.DSMT4" ShapeID="_x0000_i1063" DrawAspect="Content" ObjectID="_1491237342" r:id="rId99"/>
        </w:object>
      </w:r>
      <w:r w:rsidR="00453A16">
        <w:rPr>
          <w:rFonts w:eastAsiaTheme="minorEastAsia"/>
        </w:rPr>
        <w:tab/>
        <w:t>(43</w:t>
      </w:r>
      <w:r>
        <w:rPr>
          <w:rFonts w:eastAsiaTheme="minorEastAsia"/>
        </w:rPr>
        <w:t>)</w:t>
      </w:r>
    </w:p>
    <w:p w:rsidR="00D44EB9" w:rsidRDefault="00D44EB9" w:rsidP="009B041E">
      <w:pPr>
        <w:pStyle w:val="EQ"/>
        <w:rPr>
          <w:rFonts w:eastAsiaTheme="minorEastAsia"/>
        </w:rPr>
      </w:pPr>
      <w:r>
        <w:rPr>
          <w:rFonts w:eastAsiaTheme="minorEastAsia"/>
        </w:rPr>
        <w:t>Integrating</w:t>
      </w:r>
      <w:r w:rsidR="005717BE">
        <w:rPr>
          <w:rFonts w:eastAsiaTheme="minorEastAsia"/>
        </w:rPr>
        <w:t xml:space="preserve"> </w:t>
      </w:r>
      <w:r w:rsidR="00453A16">
        <w:rPr>
          <w:rFonts w:eastAsiaTheme="minorEastAsia"/>
        </w:rPr>
        <w:t>(43</w:t>
      </w:r>
      <w:r w:rsidR="0071180B">
        <w:rPr>
          <w:rFonts w:eastAsiaTheme="minorEastAsia"/>
        </w:rPr>
        <w:t xml:space="preserve">) </w:t>
      </w:r>
      <w:r w:rsidR="005717BE">
        <w:rPr>
          <w:rFonts w:eastAsiaTheme="minorEastAsia"/>
        </w:rPr>
        <w:t xml:space="preserve">and taking the limit as t--&gt;∞ gives the equilibrium concentration for </w:t>
      </w:r>
      <w:r w:rsidR="005717BE" w:rsidRPr="0071180B">
        <w:rPr>
          <w:rFonts w:eastAsiaTheme="minorEastAsia"/>
          <w:i/>
        </w:rPr>
        <w:t>A</w:t>
      </w:r>
      <w:r w:rsidR="005717BE">
        <w:rPr>
          <w:rFonts w:eastAsiaTheme="minorEastAsia"/>
        </w:rPr>
        <w:t xml:space="preserve"> as</w:t>
      </w:r>
    </w:p>
    <w:p w:rsidR="009B041E" w:rsidRDefault="0071180B" w:rsidP="0071180B">
      <w:pPr>
        <w:pStyle w:val="EQ"/>
      </w:pPr>
      <w:r>
        <w:tab/>
      </w:r>
      <w:r w:rsidR="004F2A7C" w:rsidRPr="00C07B16">
        <w:rPr>
          <w:position w:val="-32"/>
        </w:rPr>
        <w:object w:dxaOrig="1500" w:dyaOrig="700">
          <v:shape id="_x0000_i1064" type="#_x0000_t75" style="width:75pt;height:35pt" o:ole="">
            <v:imagedata r:id="rId100" o:title=""/>
          </v:shape>
          <o:OLEObject Type="Embed" ProgID="Equation.DSMT4" ShapeID="_x0000_i1064" DrawAspect="Content" ObjectID="_1491237343" r:id="rId101"/>
        </w:object>
      </w:r>
      <w:r>
        <w:tab/>
        <w:t>(</w:t>
      </w:r>
      <w:r w:rsidR="00453A16">
        <w:t>44</w:t>
      </w:r>
      <w:r>
        <w:t>)</w:t>
      </w:r>
    </w:p>
    <w:tbl>
      <w:tblPr>
        <w:tblStyle w:val="TableGrid"/>
        <w:tblpPr w:leftFromText="180" w:rightFromText="180" w:vertAnchor="text" w:horzAnchor="margin" w:tblpXSpec="right" w:tblpY="3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tblGrid>
      <w:tr w:rsidR="004F2A7C" w:rsidTr="004F2A7C">
        <w:tc>
          <w:tcPr>
            <w:tcW w:w="5058" w:type="dxa"/>
          </w:tcPr>
          <w:p w:rsidR="004F2A7C" w:rsidRDefault="004F2A7C" w:rsidP="004F2A7C">
            <w:pPr>
              <w:pStyle w:val="EQ"/>
              <w:rPr>
                <w:rFonts w:eastAsiaTheme="minorEastAsia"/>
              </w:rPr>
            </w:pPr>
            <w:r>
              <w:rPr>
                <w:noProof/>
              </w:rPr>
              <w:drawing>
                <wp:inline distT="0" distB="0" distL="0" distR="0" wp14:anchorId="283BA2F0" wp14:editId="12E6AC4E">
                  <wp:extent cx="2794000" cy="2095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2796976" cy="2097732"/>
                          </a:xfrm>
                          <a:prstGeom prst="rect">
                            <a:avLst/>
                          </a:prstGeom>
                        </pic:spPr>
                      </pic:pic>
                    </a:graphicData>
                  </a:graphic>
                </wp:inline>
              </w:drawing>
            </w:r>
          </w:p>
        </w:tc>
      </w:tr>
      <w:tr w:rsidR="004F2A7C" w:rsidTr="004F2A7C">
        <w:tc>
          <w:tcPr>
            <w:tcW w:w="5058" w:type="dxa"/>
          </w:tcPr>
          <w:p w:rsidR="004F2A7C" w:rsidRDefault="004F2A7C" w:rsidP="004F2A7C">
            <w:pPr>
              <w:pStyle w:val="EQ"/>
              <w:rPr>
                <w:rFonts w:eastAsiaTheme="minorEastAsia"/>
              </w:rPr>
            </w:pPr>
            <w:r>
              <w:rPr>
                <w:rFonts w:eastAsiaTheme="minorEastAsia"/>
              </w:rPr>
              <w:t xml:space="preserve">Figure 2.   Concentration of A (blue) and B(green) as a function of time during a reversible reaction.  Red line is the equilibrium concentration predicted by (45).  </w:t>
            </w:r>
          </w:p>
        </w:tc>
      </w:tr>
    </w:tbl>
    <w:p w:rsidR="004F2A7C" w:rsidRDefault="004F2A7C" w:rsidP="005717BE">
      <w:pPr>
        <w:ind w:firstLine="0"/>
        <w:rPr>
          <w:rFonts w:eastAsiaTheme="minorEastAsia"/>
        </w:rPr>
      </w:pPr>
      <w:r>
        <w:rPr>
          <w:rFonts w:eastAsiaTheme="minorEastAsia"/>
        </w:rPr>
        <w:t xml:space="preserve">The equilibrium constant is related to the reaction rates using (18) so </w:t>
      </w:r>
    </w:p>
    <w:p w:rsidR="004F2A7C" w:rsidRDefault="004F2A7C" w:rsidP="004F2A7C">
      <w:pPr>
        <w:pStyle w:val="EQ"/>
      </w:pPr>
      <w:r>
        <w:tab/>
      </w:r>
      <w:r w:rsidRPr="004F2A7C">
        <w:rPr>
          <w:position w:val="-24"/>
        </w:rPr>
        <w:object w:dxaOrig="1340" w:dyaOrig="620">
          <v:shape id="_x0000_i1065" type="#_x0000_t75" style="width:66.5pt;height:31pt" o:ole="">
            <v:imagedata r:id="rId103" o:title=""/>
          </v:shape>
          <o:OLEObject Type="Embed" ProgID="Equation.DSMT4" ShapeID="_x0000_i1065" DrawAspect="Content" ObjectID="_1491237344" r:id="rId104"/>
        </w:object>
      </w:r>
      <w:r>
        <w:tab/>
        <w:t>(45)</w:t>
      </w:r>
    </w:p>
    <w:p w:rsidR="005717BE" w:rsidRDefault="0071180B" w:rsidP="005717BE">
      <w:pPr>
        <w:ind w:firstLine="0"/>
        <w:rPr>
          <w:rFonts w:eastAsiaTheme="minorEastAsia"/>
        </w:rPr>
      </w:pPr>
      <w:r>
        <w:t>a</w:t>
      </w:r>
      <w:r w:rsidR="005717BE">
        <w:t xml:space="preserve">nd it is apparent from </w:t>
      </w:r>
      <w:r w:rsidR="00C07B16">
        <w:t>(40</w:t>
      </w:r>
      <w:r>
        <w:t xml:space="preserve">) </w:t>
      </w:r>
      <w:r w:rsidR="005717BE">
        <w:t>that t</w:t>
      </w:r>
      <w:r w:rsidR="005717BE">
        <w:rPr>
          <w:rFonts w:eastAsiaTheme="minorEastAsia"/>
        </w:rPr>
        <w:t>h</w:t>
      </w:r>
      <w:r>
        <w:rPr>
          <w:rFonts w:eastAsiaTheme="minorEastAsia"/>
        </w:rPr>
        <w:t>e</w:t>
      </w:r>
      <w:r w:rsidR="005717BE">
        <w:rPr>
          <w:rFonts w:eastAsiaTheme="minorEastAsia"/>
        </w:rPr>
        <w:t xml:space="preserve"> system goes to steady state when   </w:t>
      </w:r>
    </w:p>
    <w:p w:rsidR="005717BE" w:rsidRDefault="0071180B" w:rsidP="0071180B">
      <w:pPr>
        <w:pStyle w:val="EQ"/>
        <w:rPr>
          <w:rFonts w:eastAsiaTheme="minorEastAsia"/>
        </w:rPr>
      </w:pPr>
      <w:r>
        <w:rPr>
          <w:rFonts w:eastAsiaTheme="minorEastAsia"/>
        </w:rPr>
        <w:tab/>
      </w:r>
      <w:r w:rsidR="004F2A7C" w:rsidRPr="004F2A7C">
        <w:rPr>
          <w:rFonts w:eastAsiaTheme="minorEastAsia"/>
          <w:position w:val="-32"/>
        </w:rPr>
        <w:object w:dxaOrig="1400" w:dyaOrig="700">
          <v:shape id="_x0000_i1066" type="#_x0000_t75" style="width:69.5pt;height:35pt" o:ole="">
            <v:imagedata r:id="rId105" o:title=""/>
          </v:shape>
          <o:OLEObject Type="Embed" ProgID="Equation.DSMT4" ShapeID="_x0000_i1066" DrawAspect="Content" ObjectID="_1491237345" r:id="rId106"/>
        </w:object>
      </w:r>
      <w:r w:rsidR="004F2A7C">
        <w:rPr>
          <w:rFonts w:eastAsiaTheme="minorEastAsia"/>
        </w:rPr>
        <w:tab/>
        <w:t>(46</w:t>
      </w:r>
      <w:r>
        <w:rPr>
          <w:rFonts w:eastAsiaTheme="minorEastAsia"/>
        </w:rPr>
        <w:t>)</w:t>
      </w:r>
    </w:p>
    <w:p w:rsidR="004F2A7C" w:rsidRDefault="004F2A7C" w:rsidP="0071180B">
      <w:pPr>
        <w:pStyle w:val="EQ"/>
        <w:rPr>
          <w:rFonts w:eastAsiaTheme="minorEastAsia"/>
        </w:rPr>
      </w:pPr>
    </w:p>
    <w:p w:rsidR="004F2A7C" w:rsidRDefault="004F2A7C" w:rsidP="0071180B">
      <w:pPr>
        <w:pStyle w:val="EQ"/>
        <w:rPr>
          <w:rFonts w:eastAsiaTheme="minorEastAsia"/>
        </w:rPr>
      </w:pPr>
    </w:p>
    <w:p w:rsidR="00D85A80" w:rsidRDefault="00D85A80" w:rsidP="00A82B1A">
      <w:pPr>
        <w:pStyle w:val="Heading4"/>
        <w:rPr>
          <w:rFonts w:eastAsiaTheme="minorEastAsia"/>
        </w:rPr>
      </w:pPr>
      <w:r>
        <w:rPr>
          <w:rFonts w:eastAsiaTheme="minorEastAsia"/>
        </w:rPr>
        <w:t xml:space="preserve"> Example</w:t>
      </w:r>
    </w:p>
    <w:p w:rsidR="0049719B" w:rsidRDefault="00D85A80" w:rsidP="00A82B1A">
      <w:pPr>
        <w:pStyle w:val="EQ"/>
        <w:rPr>
          <w:rFonts w:eastAsiaTheme="minorEastAsia"/>
        </w:rPr>
      </w:pPr>
      <w:r>
        <w:rPr>
          <w:rFonts w:eastAsiaTheme="minorEastAsia"/>
        </w:rPr>
        <w:t xml:space="preserve">An example of the analysis was conducted where the initial concentration of </w:t>
      </w:r>
      <w:r w:rsidRPr="0049719B">
        <w:rPr>
          <w:rFonts w:eastAsiaTheme="minorEastAsia"/>
          <w:i/>
        </w:rPr>
        <w:t>A</w:t>
      </w:r>
      <w:r w:rsidR="0049719B">
        <w:rPr>
          <w:rFonts w:eastAsiaTheme="minorEastAsia"/>
        </w:rPr>
        <w:t>(0)=</w:t>
      </w:r>
      <w:r w:rsidR="0049719B" w:rsidRPr="0049719B">
        <w:rPr>
          <w:rFonts w:eastAsiaTheme="minorEastAsia"/>
          <w:i/>
        </w:rPr>
        <w:t>A</w:t>
      </w:r>
      <w:r w:rsidR="0049719B" w:rsidRPr="0049719B">
        <w:rPr>
          <w:rFonts w:eastAsiaTheme="minorEastAsia"/>
          <w:vertAlign w:val="subscript"/>
        </w:rPr>
        <w:t>o</w:t>
      </w:r>
      <w:r w:rsidR="0049719B">
        <w:rPr>
          <w:rFonts w:eastAsiaTheme="minorEastAsia"/>
        </w:rPr>
        <w:t>=</w:t>
      </w:r>
      <w:r>
        <w:rPr>
          <w:rFonts w:eastAsiaTheme="minorEastAsia"/>
        </w:rPr>
        <w:t xml:space="preserve">1.0 and </w:t>
      </w:r>
      <w:r w:rsidRPr="0049719B">
        <w:rPr>
          <w:rFonts w:eastAsiaTheme="minorEastAsia"/>
          <w:i/>
        </w:rPr>
        <w:t>B</w:t>
      </w:r>
      <w:r w:rsidRPr="0049719B">
        <w:rPr>
          <w:rFonts w:eastAsiaTheme="minorEastAsia"/>
          <w:vertAlign w:val="subscript"/>
        </w:rPr>
        <w:t>o</w:t>
      </w:r>
      <w:r w:rsidR="0049719B">
        <w:rPr>
          <w:rFonts w:eastAsiaTheme="minorEastAsia"/>
        </w:rPr>
        <w:t>=0</w:t>
      </w:r>
      <w:r>
        <w:rPr>
          <w:rFonts w:eastAsiaTheme="minorEastAsia"/>
        </w:rPr>
        <w:t xml:space="preserve">. </w:t>
      </w:r>
    </w:p>
    <w:p w:rsidR="00D85A80" w:rsidRDefault="0049719B" w:rsidP="00A82B1A">
      <w:pPr>
        <w:pStyle w:val="EQ"/>
        <w:rPr>
          <w:rFonts w:eastAsiaTheme="minorEastAsia"/>
        </w:rPr>
      </w:pPr>
      <w:r>
        <w:rPr>
          <w:rFonts w:eastAsiaTheme="minorEastAsia"/>
        </w:rPr>
        <w:t xml:space="preserve">Both A and B were used as unknowns </w:t>
      </w:r>
      <w:r w:rsidR="004F2A7C">
        <w:rPr>
          <w:rFonts w:eastAsiaTheme="minorEastAsia"/>
        </w:rPr>
        <w:t>with the right hand sides of (40) and (42</w:t>
      </w:r>
      <w:r>
        <w:rPr>
          <w:rFonts w:eastAsiaTheme="minorEastAsia"/>
        </w:rPr>
        <w:t xml:space="preserve">) used as </w:t>
      </w:r>
      <w:r w:rsidRPr="0049719B">
        <w:rPr>
          <w:rFonts w:ascii="ESSTIXThirteen" w:eastAsiaTheme="minorEastAsia" w:hAnsi="ESSTIXThirteen"/>
        </w:rPr>
        <w:t>R</w:t>
      </w:r>
      <w:r>
        <w:rPr>
          <w:rFonts w:eastAsiaTheme="minorEastAsia"/>
        </w:rPr>
        <w:t xml:space="preserve">. </w:t>
      </w:r>
      <w:r w:rsidR="00D85A80">
        <w:rPr>
          <w:rFonts w:eastAsiaTheme="minorEastAsia"/>
        </w:rPr>
        <w:t xml:space="preserve">Values of the rate constants were selected so the analysis goes to steady conditions during an analysis of 100s.   </w:t>
      </w:r>
    </w:p>
    <w:p w:rsidR="00D85A80" w:rsidRDefault="00D85A80" w:rsidP="00A82B1A">
      <w:pPr>
        <w:pStyle w:val="EQ"/>
        <w:rPr>
          <w:rFonts w:eastAsiaTheme="minorEastAsia"/>
        </w:rPr>
      </w:pPr>
      <w:r>
        <w:rPr>
          <w:rFonts w:eastAsiaTheme="minorEastAsia"/>
        </w:rPr>
        <w:t xml:space="preserve">The results indicate the system going to equilibration in approximately 40s  (Fig  </w:t>
      </w:r>
      <w:r w:rsidR="00A82B1A">
        <w:rPr>
          <w:rFonts w:eastAsiaTheme="minorEastAsia"/>
        </w:rPr>
        <w:t>2</w:t>
      </w:r>
      <w:r>
        <w:rPr>
          <w:rFonts w:eastAsiaTheme="minorEastAsia"/>
        </w:rPr>
        <w:t xml:space="preserve">).  The concentration of </w:t>
      </w:r>
      <w:r w:rsidRPr="0049719B">
        <w:rPr>
          <w:rFonts w:eastAsiaTheme="minorEastAsia"/>
          <w:i/>
        </w:rPr>
        <w:t>A</w:t>
      </w:r>
      <w:r>
        <w:rPr>
          <w:rFonts w:eastAsiaTheme="minorEastAsia"/>
        </w:rPr>
        <w:t xml:space="preserve"> at equilibrium </w:t>
      </w:r>
      <w:r>
        <w:rPr>
          <w:rFonts w:eastAsiaTheme="minorEastAsia"/>
        </w:rPr>
        <w:lastRenderedPageBreak/>
        <w:t>i</w:t>
      </w:r>
      <w:r w:rsidR="004F2A7C">
        <w:rPr>
          <w:rFonts w:eastAsiaTheme="minorEastAsia"/>
        </w:rPr>
        <w:t>s 0.1, which is confirmed by (45</w:t>
      </w:r>
      <w:r>
        <w:rPr>
          <w:rFonts w:eastAsiaTheme="minorEastAsia"/>
        </w:rPr>
        <w:t xml:space="preserve">).    </w:t>
      </w:r>
    </w:p>
    <w:p w:rsidR="0071180B" w:rsidRDefault="0071180B" w:rsidP="0071180B">
      <w:pPr>
        <w:pStyle w:val="Heading3"/>
      </w:pPr>
      <w:r>
        <w:t>Decay Chain</w:t>
      </w:r>
    </w:p>
    <w:p w:rsidR="0071180B" w:rsidRDefault="0071180B" w:rsidP="0071180B">
      <w:pPr>
        <w:pStyle w:val="EQ"/>
      </w:pPr>
      <w:r>
        <w:t xml:space="preserve">Some chemical systems decay from one compound to another, forming a chain. This type of reaction is important because all the intermediate reactions must occur to get to an endpoint.  The kinetics of required to reach an endpoint is based on all the intermediate reactions.  </w:t>
      </w:r>
    </w:p>
    <w:p w:rsidR="0071180B" w:rsidRDefault="0071180B" w:rsidP="0071180B">
      <w:pPr>
        <w:pStyle w:val="EQ"/>
      </w:pPr>
      <w:r>
        <w:t xml:space="preserve">Conceptually, a decay chain starts with a mass of parent material that decays to a daughter product by some type of kinetic process.  The daughter both decays into a grand-daughter product and it is produced by continued decay of the parent.  The granddaughter product decays into a greatgranddaughter and is produced by decay of the daughter.  </w:t>
      </w:r>
      <w:r w:rsidR="00C102FC">
        <w:t xml:space="preserve">Ultimately, the decay process ends in a product that is stable.  </w:t>
      </w:r>
    </w:p>
    <w:p w:rsidR="0071180B" w:rsidRDefault="0071180B" w:rsidP="00C102FC">
      <w:pPr>
        <w:pStyle w:val="EQ"/>
      </w:pPr>
      <w:r>
        <w:t>Considering a decay chain of  A</w:t>
      </w:r>
      <w:r>
        <w:sym w:font="Wingdings" w:char="F0E0"/>
      </w:r>
      <w:r>
        <w:t>B</w:t>
      </w:r>
      <w:r>
        <w:sym w:font="Wingdings" w:char="F0E0"/>
      </w:r>
      <w:r>
        <w:t>C</w:t>
      </w:r>
      <w:r>
        <w:sym w:font="Wingdings" w:char="F0E0"/>
      </w:r>
      <w:r>
        <w:t>D as an example and assum</w:t>
      </w:r>
      <w:r w:rsidR="00C102FC">
        <w:t>e</w:t>
      </w:r>
      <w:r>
        <w:t xml:space="preserve"> each reaction is first order</w:t>
      </w:r>
      <w:r w:rsidR="00C102FC">
        <w:t>.  The first reaction describes the decay rate of A</w:t>
      </w:r>
    </w:p>
    <w:p w:rsidR="00C102FC" w:rsidRDefault="00C102FC" w:rsidP="00C102FC">
      <w:pPr>
        <w:pStyle w:val="EQ"/>
      </w:pPr>
      <w:r>
        <w:tab/>
      </w:r>
      <w:r w:rsidRPr="00C102FC">
        <w:rPr>
          <w:position w:val="-24"/>
        </w:rPr>
        <w:object w:dxaOrig="1180" w:dyaOrig="620">
          <v:shape id="_x0000_i1067" type="#_x0000_t75" style="width:59pt;height:31pt" o:ole="">
            <v:imagedata r:id="rId107" o:title=""/>
          </v:shape>
          <o:OLEObject Type="Embed" ProgID="Equation.DSMT4" ShapeID="_x0000_i1067" DrawAspect="Content" ObjectID="_1491237346" r:id="rId108"/>
        </w:object>
      </w:r>
      <w:r w:rsidR="004F2A7C">
        <w:tab/>
        <w:t>(47</w:t>
      </w:r>
      <w:r>
        <w:t>)</w:t>
      </w:r>
    </w:p>
    <w:p w:rsidR="00C102FC" w:rsidRDefault="00C102FC" w:rsidP="00C102FC">
      <w:pPr>
        <w:pStyle w:val="EQ"/>
      </w:pPr>
      <w:r>
        <w:t xml:space="preserve">The first term on the right side of the kinetics for </w:t>
      </w:r>
      <w:r w:rsidRPr="00C102FC">
        <w:rPr>
          <w:i/>
        </w:rPr>
        <w:t>B</w:t>
      </w:r>
      <w:r>
        <w:t xml:space="preserve"> is the first order decay of</w:t>
      </w:r>
      <w:r w:rsidRPr="00C102FC">
        <w:rPr>
          <w:i/>
        </w:rPr>
        <w:t xml:space="preserve"> B</w:t>
      </w:r>
      <w:r>
        <w:t xml:space="preserve"> and the second term is the production of </w:t>
      </w:r>
      <w:r w:rsidRPr="00C102FC">
        <w:rPr>
          <w:i/>
        </w:rPr>
        <w:t>B</w:t>
      </w:r>
      <w:r>
        <w:t xml:space="preserve"> from </w:t>
      </w:r>
      <w:r w:rsidRPr="00C102FC">
        <w:rPr>
          <w:i/>
        </w:rPr>
        <w:t>A</w:t>
      </w:r>
      <w:r>
        <w:tab/>
      </w:r>
    </w:p>
    <w:p w:rsidR="00C102FC" w:rsidRDefault="00C102FC" w:rsidP="00C102FC">
      <w:pPr>
        <w:pStyle w:val="EQ"/>
      </w:pPr>
      <w:r>
        <w:tab/>
      </w:r>
      <w:r w:rsidR="008025CD" w:rsidRPr="00C102FC">
        <w:rPr>
          <w:position w:val="-24"/>
        </w:rPr>
        <w:object w:dxaOrig="1939" w:dyaOrig="620">
          <v:shape id="_x0000_i1068" type="#_x0000_t75" style="width:97pt;height:31pt" o:ole="">
            <v:imagedata r:id="rId109" o:title=""/>
          </v:shape>
          <o:OLEObject Type="Embed" ProgID="Equation.DSMT4" ShapeID="_x0000_i1068" DrawAspect="Content" ObjectID="_1491237347" r:id="rId110"/>
        </w:object>
      </w:r>
      <w:r w:rsidR="004F2A7C">
        <w:tab/>
        <w:t>(48</w:t>
      </w:r>
      <w:r>
        <w:t>)</w:t>
      </w:r>
    </w:p>
    <w:p w:rsidR="00C102FC" w:rsidRDefault="00C102FC" w:rsidP="00C102FC">
      <w:pPr>
        <w:pStyle w:val="EQ"/>
      </w:pPr>
      <w:r>
        <w:t>The kinetics for C include the production from B, which is given by substitution</w:t>
      </w:r>
    </w:p>
    <w:p w:rsidR="00C102FC" w:rsidRDefault="00C102FC" w:rsidP="00C102FC">
      <w:pPr>
        <w:pStyle w:val="EQ"/>
      </w:pPr>
      <w:r>
        <w:tab/>
      </w:r>
      <w:r w:rsidR="008025CD" w:rsidRPr="00C102FC">
        <w:rPr>
          <w:position w:val="-24"/>
        </w:rPr>
        <w:object w:dxaOrig="1880" w:dyaOrig="620">
          <v:shape id="_x0000_i1069" type="#_x0000_t75" style="width:93.5pt;height:31pt" o:ole="">
            <v:imagedata r:id="rId111" o:title=""/>
          </v:shape>
          <o:OLEObject Type="Embed" ProgID="Equation.DSMT4" ShapeID="_x0000_i1069" DrawAspect="Content" ObjectID="_1491237348" r:id="rId112"/>
        </w:object>
      </w:r>
      <w:r w:rsidR="004F2A7C">
        <w:tab/>
        <w:t>49</w:t>
      </w:r>
      <w:r>
        <w:t>)</w:t>
      </w:r>
    </w:p>
    <w:p w:rsidR="00C102FC" w:rsidRDefault="00C102FC" w:rsidP="00C102FC">
      <w:pPr>
        <w:pStyle w:val="EQ"/>
      </w:pPr>
      <w:r>
        <w:t xml:space="preserve">The kinetics for D only contains production terms.  There is no degradation of D. </w:t>
      </w:r>
    </w:p>
    <w:p w:rsidR="00C102FC" w:rsidRDefault="00C102FC" w:rsidP="00C102FC">
      <w:pPr>
        <w:pStyle w:val="EQ"/>
      </w:pPr>
      <w:r>
        <w:tab/>
      </w:r>
      <w:r w:rsidR="008025CD" w:rsidRPr="00C102FC">
        <w:rPr>
          <w:position w:val="-24"/>
        </w:rPr>
        <w:object w:dxaOrig="1100" w:dyaOrig="620">
          <v:shape id="_x0000_i1070" type="#_x0000_t75" style="width:54.5pt;height:31pt" o:ole="">
            <v:imagedata r:id="rId113" o:title=""/>
          </v:shape>
          <o:OLEObject Type="Embed" ProgID="Equation.DSMT4" ShapeID="_x0000_i1070" DrawAspect="Content" ObjectID="_1491237349" r:id="rId114"/>
        </w:object>
      </w:r>
      <w:r w:rsidR="004F2A7C">
        <w:tab/>
        <w:t>(50</w:t>
      </w:r>
      <w:r>
        <w:t>)</w:t>
      </w:r>
    </w:p>
    <w:p w:rsidR="00671767" w:rsidRDefault="00671767" w:rsidP="00C102FC">
      <w:pPr>
        <w:pStyle w:val="EQ"/>
      </w:pPr>
      <w:r>
        <w:t>Each of the reactions in (</w:t>
      </w:r>
      <w:r w:rsidR="004F2A7C">
        <w:t>47-50</w:t>
      </w:r>
      <w:r>
        <w:t xml:space="preserve">), and indeed, all of the reactions given in the previous pages will have different reaction rates constants.  </w:t>
      </w:r>
    </w:p>
    <w:tbl>
      <w:tblPr>
        <w:tblStyle w:val="TableGrid"/>
        <w:tblpPr w:leftFromText="180" w:rightFromText="180" w:vertAnchor="text" w:horzAnchor="margin" w:tblpXSpec="right" w:tblpY="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A82B1A" w:rsidTr="00A82B1A">
        <w:tc>
          <w:tcPr>
            <w:tcW w:w="5508" w:type="dxa"/>
          </w:tcPr>
          <w:p w:rsidR="00A82B1A" w:rsidRDefault="00A82B1A" w:rsidP="00A82B1A">
            <w:pPr>
              <w:pStyle w:val="EQ"/>
            </w:pPr>
            <w:r>
              <w:rPr>
                <w:noProof/>
              </w:rPr>
              <w:lastRenderedPageBreak/>
              <w:drawing>
                <wp:inline distT="0" distB="0" distL="0" distR="0" wp14:anchorId="52F357D5" wp14:editId="5C7D574D">
                  <wp:extent cx="330200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5"/>
                          <a:stretch>
                            <a:fillRect/>
                          </a:stretch>
                        </pic:blipFill>
                        <pic:spPr>
                          <a:xfrm>
                            <a:off x="0" y="0"/>
                            <a:ext cx="3302000" cy="2476500"/>
                          </a:xfrm>
                          <a:prstGeom prst="rect">
                            <a:avLst/>
                          </a:prstGeom>
                        </pic:spPr>
                      </pic:pic>
                    </a:graphicData>
                  </a:graphic>
                </wp:inline>
              </w:drawing>
            </w:r>
          </w:p>
        </w:tc>
      </w:tr>
      <w:tr w:rsidR="00A82B1A" w:rsidTr="00A82B1A">
        <w:tc>
          <w:tcPr>
            <w:tcW w:w="5508" w:type="dxa"/>
          </w:tcPr>
          <w:p w:rsidR="00A82B1A" w:rsidRDefault="00A82B1A" w:rsidP="00A82B1A">
            <w:pPr>
              <w:pStyle w:val="EQ"/>
            </w:pPr>
            <w:r>
              <w:t>Figure 3. Example of a decay chain of four compounds undergoing fir</w:t>
            </w:r>
            <w:r w:rsidR="00027654">
              <w:t>st-order reactions using eq. (47-50</w:t>
            </w:r>
            <w:r>
              <w:t>)</w:t>
            </w:r>
          </w:p>
        </w:tc>
      </w:tr>
    </w:tbl>
    <w:p w:rsidR="00720093" w:rsidRDefault="00A82B1A" w:rsidP="00A82B1A">
      <w:pPr>
        <w:pStyle w:val="Heading4"/>
      </w:pPr>
      <w:r>
        <w:t xml:space="preserve"> </w:t>
      </w:r>
      <w:r w:rsidR="00720093">
        <w:t>Example</w:t>
      </w:r>
    </w:p>
    <w:p w:rsidR="00ED4B1E" w:rsidRDefault="00720093" w:rsidP="00A82B1A">
      <w:r>
        <w:t>An example was conducted to illustrate the behavior of a decay chain A</w:t>
      </w:r>
      <w:r>
        <w:sym w:font="Wingdings" w:char="F0E0"/>
      </w:r>
      <w:r>
        <w:t>B</w:t>
      </w:r>
      <w:r>
        <w:sym w:font="Wingdings" w:char="F0E0"/>
      </w:r>
      <w:r>
        <w:t>C</w:t>
      </w:r>
      <w:r>
        <w:sym w:font="Wingdings" w:char="F0E0"/>
      </w:r>
      <w:r>
        <w:t>D</w:t>
      </w:r>
      <w:r w:rsidR="00ED4B1E">
        <w:t>.  Four unknowns were used, one for each species, and the reaction</w:t>
      </w:r>
      <w:r w:rsidR="004F2A7C">
        <w:t xml:space="preserve"> kinetics were defined using (47-50</w:t>
      </w:r>
      <w:r w:rsidR="00ED4B1E">
        <w:t xml:space="preserve">).  Initial conditions were </w:t>
      </w:r>
      <w:r w:rsidRPr="00027654">
        <w:rPr>
          <w:i/>
        </w:rPr>
        <w:t>A</w:t>
      </w:r>
      <w:r w:rsidR="0049719B">
        <w:t>(0)</w:t>
      </w:r>
      <w:r w:rsidR="00027654">
        <w:t xml:space="preserve"> </w:t>
      </w:r>
      <w:r w:rsidR="0049719B">
        <w:t>=</w:t>
      </w:r>
      <w:r w:rsidR="00027654">
        <w:t xml:space="preserve"> </w:t>
      </w:r>
      <w:r w:rsidR="0049719B">
        <w:t>A</w:t>
      </w:r>
      <w:r w:rsidR="0049719B" w:rsidRPr="0049719B">
        <w:rPr>
          <w:vertAlign w:val="subscript"/>
        </w:rPr>
        <w:t>0</w:t>
      </w:r>
      <w:r w:rsidR="00027654">
        <w:rPr>
          <w:vertAlign w:val="subscript"/>
        </w:rPr>
        <w:t xml:space="preserve"> </w:t>
      </w:r>
      <w:r>
        <w:t>=</w:t>
      </w:r>
      <w:r w:rsidR="00027654">
        <w:t xml:space="preserve"> </w:t>
      </w:r>
      <w:r>
        <w:t>1.0</w:t>
      </w:r>
      <w:r w:rsidR="00ED4B1E">
        <w:t xml:space="preserve">, </w:t>
      </w:r>
      <w:r w:rsidR="00ED4B1E" w:rsidRPr="00027654">
        <w:rPr>
          <w:i/>
        </w:rPr>
        <w:t>B</w:t>
      </w:r>
      <w:r w:rsidR="00ED4B1E">
        <w:t xml:space="preserve">(0) = </w:t>
      </w:r>
      <w:r w:rsidR="00ED4B1E" w:rsidRPr="00027654">
        <w:rPr>
          <w:i/>
        </w:rPr>
        <w:t>C</w:t>
      </w:r>
      <w:r w:rsidR="00ED4B1E">
        <w:t>(0) =</w:t>
      </w:r>
      <w:r w:rsidR="00027654">
        <w:t xml:space="preserve"> </w:t>
      </w:r>
      <w:r w:rsidR="00ED4B1E" w:rsidRPr="00027654">
        <w:rPr>
          <w:i/>
        </w:rPr>
        <w:t>D</w:t>
      </w:r>
      <w:r w:rsidR="00ED4B1E">
        <w:t>(0)</w:t>
      </w:r>
      <w:r w:rsidR="00027654">
        <w:t xml:space="preserve"> </w:t>
      </w:r>
      <w:r w:rsidR="00ED4B1E">
        <w:t>=</w:t>
      </w:r>
      <w:r w:rsidR="00027654">
        <w:t xml:space="preserve"> </w:t>
      </w:r>
      <w:r w:rsidR="00ED4B1E">
        <w:t>0.  In other words, we start with 1 unit of species A, but no other compounds.  K</w:t>
      </w:r>
      <w:r>
        <w:t xml:space="preserve">inetic constants </w:t>
      </w:r>
      <w:r w:rsidR="00ED4B1E">
        <w:t xml:space="preserve">were adjusted </w:t>
      </w:r>
      <w:r w:rsidR="00027654">
        <w:t xml:space="preserve">so </w:t>
      </w:r>
      <w:r>
        <w:t xml:space="preserve">the reactions occur over 100 s (Fig. </w:t>
      </w:r>
      <w:r w:rsidR="00A82B1A">
        <w:t>3</w:t>
      </w:r>
      <w:r>
        <w:t xml:space="preserve">).  </w:t>
      </w:r>
    </w:p>
    <w:p w:rsidR="00720093" w:rsidRDefault="00720093" w:rsidP="00A82B1A">
      <w:r>
        <w:t xml:space="preserve">The response is for </w:t>
      </w:r>
      <w:r w:rsidRPr="00027654">
        <w:rPr>
          <w:i/>
        </w:rPr>
        <w:t>A</w:t>
      </w:r>
      <w:r>
        <w:t xml:space="preserve"> to decay while </w:t>
      </w:r>
      <w:r w:rsidRPr="00027654">
        <w:rPr>
          <w:i/>
        </w:rPr>
        <w:t>B</w:t>
      </w:r>
      <w:r>
        <w:t xml:space="preserve"> is produced, and then </w:t>
      </w:r>
      <w:r w:rsidRPr="00027654">
        <w:rPr>
          <w:i/>
        </w:rPr>
        <w:t>B</w:t>
      </w:r>
      <w:r>
        <w:t xml:space="preserve"> decays as </w:t>
      </w:r>
      <w:r w:rsidRPr="00027654">
        <w:rPr>
          <w:i/>
        </w:rPr>
        <w:t>C</w:t>
      </w:r>
      <w:r>
        <w:t xml:space="preserve"> is produced.  This results in a set of concentrations that increase, reach a peak, and decrease (Fig. </w:t>
      </w:r>
      <w:r w:rsidR="00A82B1A">
        <w:t>3</w:t>
      </w:r>
      <w:r>
        <w:t xml:space="preserve">).  The rates of increase and decrease are controlled by the individual rate constants.    </w:t>
      </w:r>
    </w:p>
    <w:p w:rsidR="00720093" w:rsidRPr="00720093" w:rsidRDefault="00720093" w:rsidP="00A82B1A"/>
    <w:p w:rsidR="00C102FC" w:rsidRDefault="00C102FC" w:rsidP="00671767">
      <w:pPr>
        <w:pStyle w:val="Heading3"/>
      </w:pPr>
      <w:r>
        <w:t>Microbial Reactions</w:t>
      </w:r>
    </w:p>
    <w:p w:rsidR="00C102FC" w:rsidRDefault="00C102FC" w:rsidP="00C102FC">
      <w:pPr>
        <w:pStyle w:val="EQ"/>
      </w:pPr>
      <w:r>
        <w:t>Microbes control important chemical reactions that can degrade problem compounds much more rapidly than they would otherwise degrade.  A general reaction for microbial growth includes the following components [Grady and others, 2010]</w:t>
      </w:r>
    </w:p>
    <w:p w:rsidR="00671767" w:rsidRPr="000F1247" w:rsidRDefault="00C102FC" w:rsidP="00671767">
      <w:pPr>
        <w:pStyle w:val="EQ"/>
        <w:rPr>
          <w:b/>
        </w:rPr>
      </w:pPr>
      <w:r w:rsidRPr="000F1247">
        <w:rPr>
          <w:b/>
        </w:rPr>
        <w:t>Carbon+energy+electron acceptor+nitrogen+other nutrients</w:t>
      </w:r>
      <w:r w:rsidRPr="000F1247">
        <w:rPr>
          <w:b/>
        </w:rPr>
        <w:sym w:font="Wingdings" w:char="F0E0"/>
      </w:r>
      <w:r w:rsidRPr="000F1247">
        <w:rPr>
          <w:b/>
        </w:rPr>
        <w:t xml:space="preserve"> </w:t>
      </w:r>
    </w:p>
    <w:p w:rsidR="00C102FC" w:rsidRPr="00671767" w:rsidRDefault="00671767" w:rsidP="00671767">
      <w:pPr>
        <w:pStyle w:val="EQ"/>
      </w:pPr>
      <w:r w:rsidRPr="000F1247">
        <w:rPr>
          <w:b/>
        </w:rPr>
        <w:tab/>
      </w:r>
      <w:r w:rsidR="00C102FC" w:rsidRPr="000F1247">
        <w:rPr>
          <w:b/>
        </w:rPr>
        <w:t>biomass+reduced acceptor + products</w:t>
      </w:r>
      <w:r>
        <w:tab/>
        <w:t>(</w:t>
      </w:r>
      <w:r w:rsidR="00027654">
        <w:t>51</w:t>
      </w:r>
      <w:r>
        <w:t>)</w:t>
      </w:r>
    </w:p>
    <w:p w:rsidR="00C102FC" w:rsidRDefault="00671767" w:rsidP="00C102FC">
      <w:pPr>
        <w:pStyle w:val="EQ"/>
      </w:pPr>
      <w:r>
        <w:t>A thorough analysis of the process would include the kinetics for each species involved in the reaction.  A simplified approach is to lump all of the terms on the right side into “substrate” and the products are biomass, so</w:t>
      </w:r>
    </w:p>
    <w:p w:rsidR="00671767" w:rsidRPr="00671767" w:rsidRDefault="00671767" w:rsidP="00671767">
      <w:pPr>
        <w:pStyle w:val="EQ"/>
      </w:pPr>
      <w:r>
        <w:tab/>
      </w:r>
      <w:r w:rsidRPr="000F1247">
        <w:rPr>
          <w:b/>
        </w:rPr>
        <w:t>Substrate (Ss)</w:t>
      </w:r>
      <w:r w:rsidRPr="000F1247">
        <w:rPr>
          <w:b/>
        </w:rPr>
        <w:sym w:font="Wingdings" w:char="F0E0"/>
      </w:r>
      <w:r w:rsidRPr="000F1247">
        <w:rPr>
          <w:b/>
        </w:rPr>
        <w:t>Biomass (C)</w:t>
      </w:r>
      <w:r>
        <w:tab/>
        <w:t>(</w:t>
      </w:r>
      <w:r w:rsidR="00027654">
        <w:t>52</w:t>
      </w:r>
      <w:r>
        <w:t>)</w:t>
      </w:r>
    </w:p>
    <w:p w:rsidR="00671767" w:rsidRPr="00C102FC" w:rsidRDefault="00671767" w:rsidP="00C102FC">
      <w:pPr>
        <w:pStyle w:val="EQ"/>
      </w:pPr>
      <w:r>
        <w:t>Many experiments show that kinetics of growth of microbes can be first order, following</w:t>
      </w:r>
    </w:p>
    <w:p w:rsidR="00C102FC" w:rsidRDefault="00671767" w:rsidP="00671767">
      <w:pPr>
        <w:pStyle w:val="EQ"/>
      </w:pPr>
      <w:r>
        <w:tab/>
      </w:r>
      <w:r w:rsidR="00BB0203" w:rsidRPr="00671767">
        <w:rPr>
          <w:position w:val="-24"/>
        </w:rPr>
        <w:object w:dxaOrig="980" w:dyaOrig="620">
          <v:shape id="_x0000_i1071" type="#_x0000_t75" style="width:49pt;height:31pt" o:ole="">
            <v:imagedata r:id="rId116" o:title=""/>
          </v:shape>
          <o:OLEObject Type="Embed" ProgID="Equation.DSMT4" ShapeID="_x0000_i1071" DrawAspect="Content" ObjectID="_1491237350" r:id="rId117"/>
        </w:object>
      </w:r>
      <w:r w:rsidR="00027654">
        <w:tab/>
        <w:t>(53</w:t>
      </w:r>
      <w:r w:rsidR="00AF58F6">
        <w:t>)</w:t>
      </w:r>
    </w:p>
    <w:p w:rsidR="00BB0203" w:rsidRDefault="000F1247" w:rsidP="00671767">
      <w:pPr>
        <w:pStyle w:val="EQ"/>
      </w:pPr>
      <w:r>
        <w:t xml:space="preserve">where </w:t>
      </w:r>
      <w:r w:rsidRPr="000F1247">
        <w:rPr>
          <w:i/>
        </w:rPr>
        <w:t>k</w:t>
      </w:r>
      <w:r w:rsidR="00BB0203" w:rsidRPr="00BB0203">
        <w:rPr>
          <w:vertAlign w:val="subscript"/>
        </w:rPr>
        <w:t>1</w:t>
      </w:r>
      <w:r>
        <w:t xml:space="preserve"> is the growth rate coefficient.  </w:t>
      </w:r>
      <w:r w:rsidR="00671767">
        <w:t xml:space="preserve">This expression is not valid for an extended period, however, because it predicts an ever increasing rate of growth.  As the population of microbes increases, the substrate concentration decreases and at some point this will diminish the rate of growth.  </w:t>
      </w:r>
    </w:p>
    <w:p w:rsidR="00671767" w:rsidRDefault="00671767" w:rsidP="00671767">
      <w:pPr>
        <w:pStyle w:val="EQ"/>
      </w:pPr>
      <w:r>
        <w:lastRenderedPageBreak/>
        <w:t>A kinetic expression that includes the effects of substrate concentration was developed by Monod as</w:t>
      </w:r>
    </w:p>
    <w:p w:rsidR="00671767" w:rsidRDefault="00AF58F6" w:rsidP="00AF58F6">
      <w:pPr>
        <w:pStyle w:val="EQ"/>
      </w:pPr>
      <w:r>
        <w:tab/>
      </w:r>
      <w:r w:rsidR="00BB0203" w:rsidRPr="00671767">
        <w:rPr>
          <w:position w:val="-30"/>
        </w:rPr>
        <w:object w:dxaOrig="1700" w:dyaOrig="680">
          <v:shape id="_x0000_i1072" type="#_x0000_t75" style="width:84.5pt;height:34pt" o:ole="">
            <v:imagedata r:id="rId118" o:title=""/>
          </v:shape>
          <o:OLEObject Type="Embed" ProgID="Equation.DSMT4" ShapeID="_x0000_i1072" DrawAspect="Content" ObjectID="_1491237351" r:id="rId119"/>
        </w:object>
      </w:r>
      <w:r w:rsidR="00027654">
        <w:tab/>
        <w:t>(54</w:t>
      </w:r>
      <w:r>
        <w:t>)</w:t>
      </w:r>
    </w:p>
    <w:p w:rsidR="001118B1" w:rsidRDefault="001118B1" w:rsidP="00671767">
      <w:pPr>
        <w:pStyle w:val="EQ"/>
      </w:pPr>
      <w:r>
        <w:t xml:space="preserve">where </w:t>
      </w:r>
      <w:r w:rsidRPr="001118B1">
        <w:rPr>
          <w:i/>
        </w:rPr>
        <w:t>C</w:t>
      </w:r>
      <w:r>
        <w:t xml:space="preserve"> is the concentration of microbes, </w:t>
      </w:r>
      <w:r w:rsidRPr="001118B1">
        <w:rPr>
          <w:i/>
        </w:rPr>
        <w:t>S</w:t>
      </w:r>
      <w:r w:rsidRPr="001118B1">
        <w:rPr>
          <w:vertAlign w:val="subscript"/>
        </w:rPr>
        <w:t>s</w:t>
      </w:r>
      <w:r>
        <w:t xml:space="preserve"> is the concentration of critical component of the substrate that is limiting growth, and </w:t>
      </w:r>
      <w:r w:rsidRPr="001118B1">
        <w:rPr>
          <w:i/>
        </w:rPr>
        <w:t>k</w:t>
      </w:r>
      <w:r w:rsidRPr="001118B1">
        <w:rPr>
          <w:vertAlign w:val="subscript"/>
        </w:rPr>
        <w:t>1</w:t>
      </w:r>
      <w:r>
        <w:t xml:space="preserve"> and </w:t>
      </w:r>
      <w:r w:rsidRPr="001118B1">
        <w:rPr>
          <w:i/>
        </w:rPr>
        <w:t>k</w:t>
      </w:r>
      <w:r w:rsidRPr="001118B1">
        <w:rPr>
          <w:vertAlign w:val="subscript"/>
        </w:rPr>
        <w:t>2</w:t>
      </w:r>
      <w:r>
        <w:t xml:space="preserve"> are constants.  This expression gives a rate </w:t>
      </w:r>
      <w:r w:rsidR="00BB0203">
        <w:t xml:space="preserve">that is first order in </w:t>
      </w:r>
      <w:r w:rsidR="00BB0203" w:rsidRPr="00BB0203">
        <w:rPr>
          <w:i/>
        </w:rPr>
        <w:t>C</w:t>
      </w:r>
      <w:r w:rsidR="00BB0203">
        <w:t xml:space="preserve"> </w:t>
      </w:r>
      <w:r>
        <w:t xml:space="preserve">when the concentration of the substrate is large relative to </w:t>
      </w:r>
      <w:r w:rsidRPr="001118B1">
        <w:rPr>
          <w:i/>
        </w:rPr>
        <w:t>k</w:t>
      </w:r>
      <w:r w:rsidRPr="001118B1">
        <w:rPr>
          <w:vertAlign w:val="subscript"/>
        </w:rPr>
        <w:t>2</w:t>
      </w:r>
      <w:r>
        <w:t xml:space="preserve">.  </w:t>
      </w:r>
    </w:p>
    <w:p w:rsidR="001118B1" w:rsidRDefault="001118B1" w:rsidP="001118B1">
      <w:pPr>
        <w:pStyle w:val="EQ"/>
      </w:pPr>
      <w:r>
        <w:tab/>
      </w:r>
      <w:r w:rsidRPr="001118B1">
        <w:rPr>
          <w:position w:val="-4"/>
        </w:rPr>
        <w:object w:dxaOrig="180" w:dyaOrig="279">
          <v:shape id="_x0000_i1073" type="#_x0000_t75" style="width:9pt;height:14.5pt" o:ole="">
            <v:imagedata r:id="rId61" o:title=""/>
          </v:shape>
          <o:OLEObject Type="Embed" ProgID="Equation.DSMT4" ShapeID="_x0000_i1073" DrawAspect="Content" ObjectID="_1491237352" r:id="rId120"/>
        </w:object>
      </w:r>
      <w:r w:rsidR="00BB0203" w:rsidRPr="00BB0203">
        <w:rPr>
          <w:position w:val="-24"/>
        </w:rPr>
        <w:object w:dxaOrig="2260" w:dyaOrig="620">
          <v:shape id="_x0000_i1074" type="#_x0000_t75" style="width:113pt;height:31pt" o:ole="">
            <v:imagedata r:id="rId121" o:title=""/>
          </v:shape>
          <o:OLEObject Type="Embed" ProgID="Equation.DSMT4" ShapeID="_x0000_i1074" DrawAspect="Content" ObjectID="_1491237353" r:id="rId122"/>
        </w:object>
      </w:r>
      <w:r w:rsidR="00AF58F6">
        <w:tab/>
        <w:t>(</w:t>
      </w:r>
      <w:r w:rsidR="00027654">
        <w:t>55</w:t>
      </w:r>
      <w:r w:rsidR="00AF58F6">
        <w:t>)</w:t>
      </w:r>
    </w:p>
    <w:p w:rsidR="001118B1" w:rsidRDefault="001118B1" w:rsidP="00671767">
      <w:pPr>
        <w:pStyle w:val="EQ"/>
      </w:pPr>
      <w:r>
        <w:t xml:space="preserve">And it </w:t>
      </w:r>
      <w:r w:rsidR="00BB0203">
        <w:t xml:space="preserve">is </w:t>
      </w:r>
      <w:r>
        <w:t xml:space="preserve">first-order </w:t>
      </w:r>
      <w:r w:rsidR="00BB0203">
        <w:t xml:space="preserve">in </w:t>
      </w:r>
      <w:r w:rsidR="00BB0203" w:rsidRPr="001118B1">
        <w:rPr>
          <w:i/>
        </w:rPr>
        <w:t>S</w:t>
      </w:r>
      <w:r w:rsidR="00BB0203" w:rsidRPr="001118B1">
        <w:rPr>
          <w:vertAlign w:val="subscript"/>
        </w:rPr>
        <w:t>s</w:t>
      </w:r>
      <w:r w:rsidR="00BB0203">
        <w:t xml:space="preserve"> and </w:t>
      </w:r>
      <w:r w:rsidR="00BB0203" w:rsidRPr="00BB0203">
        <w:rPr>
          <w:i/>
        </w:rPr>
        <w:t>C</w:t>
      </w:r>
      <w:r w:rsidR="00BB0203">
        <w:t xml:space="preserve"> when </w:t>
      </w:r>
      <w:r w:rsidR="00BB0203" w:rsidRPr="001118B1">
        <w:rPr>
          <w:i/>
        </w:rPr>
        <w:t>S</w:t>
      </w:r>
      <w:r w:rsidR="00BB0203" w:rsidRPr="001118B1">
        <w:rPr>
          <w:vertAlign w:val="subscript"/>
        </w:rPr>
        <w:t>s</w:t>
      </w:r>
      <w:r w:rsidR="00BB0203">
        <w:t xml:space="preserve"> </w:t>
      </w:r>
      <w:r>
        <w:t>is small</w:t>
      </w:r>
    </w:p>
    <w:p w:rsidR="001118B1" w:rsidRDefault="001118B1" w:rsidP="001118B1">
      <w:pPr>
        <w:pStyle w:val="EQ"/>
      </w:pPr>
      <w:r>
        <w:tab/>
      </w:r>
      <w:r w:rsidR="00BB0203" w:rsidRPr="00BB0203">
        <w:rPr>
          <w:position w:val="-30"/>
        </w:rPr>
        <w:object w:dxaOrig="2659" w:dyaOrig="680">
          <v:shape id="_x0000_i1075" type="#_x0000_t75" style="width:133.5pt;height:34pt" o:ole="">
            <v:imagedata r:id="rId123" o:title=""/>
          </v:shape>
          <o:OLEObject Type="Embed" ProgID="Equation.DSMT4" ShapeID="_x0000_i1075" DrawAspect="Content" ObjectID="_1491237354" r:id="rId124"/>
        </w:object>
      </w:r>
      <w:r w:rsidR="00AF58F6">
        <w:tab/>
        <w:t>(</w:t>
      </w:r>
      <w:r w:rsidR="00027654">
        <w:t>56</w:t>
      </w:r>
      <w:r w:rsidR="00AF58F6">
        <w:t>)</w:t>
      </w:r>
    </w:p>
    <w:p w:rsidR="001118B1" w:rsidRDefault="00AC505E" w:rsidP="00671767">
      <w:pPr>
        <w:pStyle w:val="EQ"/>
      </w:pPr>
      <w:r>
        <w:t xml:space="preserve">However, the small value of </w:t>
      </w:r>
      <w:r w:rsidRPr="00AC505E">
        <w:rPr>
          <w:i/>
        </w:rPr>
        <w:t>S</w:t>
      </w:r>
      <w:r w:rsidRPr="00AC505E">
        <w:rPr>
          <w:vertAlign w:val="subscript"/>
        </w:rPr>
        <w:t>s</w:t>
      </w:r>
      <w:r>
        <w:t xml:space="preserve"> will limit the overall rate. </w:t>
      </w:r>
      <w:r w:rsidR="001118B1">
        <w:t xml:space="preserve">The interpretation is that microbes grow at a </w:t>
      </w:r>
      <w:r w:rsidR="00BB0203">
        <w:t xml:space="preserve">first order </w:t>
      </w:r>
      <w:r w:rsidR="001118B1">
        <w:t xml:space="preserve">rate when nutrients are plentiful, but their growth is in proportion to the concentration of a critical substrate when the concentration of the substrate is low.  </w:t>
      </w:r>
    </w:p>
    <w:p w:rsidR="001118B1" w:rsidRDefault="001118B1" w:rsidP="00671767">
      <w:pPr>
        <w:pStyle w:val="EQ"/>
      </w:pPr>
      <w:r>
        <w:t xml:space="preserve">It seems clear that we also need to analyze the kinetics of the substrate in order to evaluate growth of microbes.  The rate of change of the biomass concentration is proportional to the rate of depletion of the substrate, so </w:t>
      </w:r>
    </w:p>
    <w:p w:rsidR="00AF58F6" w:rsidRDefault="00AF58F6" w:rsidP="00AF58F6">
      <w:pPr>
        <w:pStyle w:val="EQ"/>
      </w:pPr>
      <w:r>
        <w:tab/>
      </w:r>
      <w:r w:rsidRPr="00AF58F6">
        <w:rPr>
          <w:position w:val="-24"/>
        </w:rPr>
        <w:object w:dxaOrig="1400" w:dyaOrig="620">
          <v:shape id="_x0000_i1076" type="#_x0000_t75" style="width:69.5pt;height:31pt" o:ole="">
            <v:imagedata r:id="rId125" o:title=""/>
          </v:shape>
          <o:OLEObject Type="Embed" ProgID="Equation.DSMT4" ShapeID="_x0000_i1076" DrawAspect="Content" ObjectID="_1491237355" r:id="rId126"/>
        </w:object>
      </w:r>
      <w:r>
        <w:tab/>
        <w:t>(</w:t>
      </w:r>
      <w:r w:rsidR="00027654">
        <w:t>57</w:t>
      </w:r>
      <w:r>
        <w:t>)</w:t>
      </w:r>
    </w:p>
    <w:p w:rsidR="00AF58F6" w:rsidRDefault="00AC505E" w:rsidP="00AF58F6">
      <w:pPr>
        <w:pStyle w:val="EQ"/>
      </w:pPr>
      <w:r>
        <w:t>w</w:t>
      </w:r>
      <w:r w:rsidR="00AF58F6">
        <w:t xml:space="preserve">here the yield coefficient, </w:t>
      </w:r>
      <w:r w:rsidR="00AF58F6" w:rsidRPr="00AF58F6">
        <w:rPr>
          <w:i/>
        </w:rPr>
        <w:t>Y</w:t>
      </w:r>
      <w:r w:rsidR="00AF58F6">
        <w:t xml:space="preserve">, is defined as </w:t>
      </w:r>
    </w:p>
    <w:p w:rsidR="00AF58F6" w:rsidRDefault="00AF58F6" w:rsidP="00AF58F6">
      <w:pPr>
        <w:pStyle w:val="EQ"/>
      </w:pPr>
      <w:r>
        <w:tab/>
      </w:r>
      <w:r w:rsidRPr="00AF58F6">
        <w:rPr>
          <w:position w:val="-30"/>
        </w:rPr>
        <w:object w:dxaOrig="999" w:dyaOrig="680">
          <v:shape id="_x0000_i1077" type="#_x0000_t75" style="width:50pt;height:34pt" o:ole="">
            <v:imagedata r:id="rId127" o:title=""/>
          </v:shape>
          <o:OLEObject Type="Embed" ProgID="Equation.DSMT4" ShapeID="_x0000_i1077" DrawAspect="Content" ObjectID="_1491237356" r:id="rId128"/>
        </w:object>
      </w:r>
      <w:r>
        <w:tab/>
        <w:t>(</w:t>
      </w:r>
      <w:r w:rsidR="00027654">
        <w:t>58</w:t>
      </w:r>
      <w:r>
        <w:t>)</w:t>
      </w:r>
    </w:p>
    <w:p w:rsidR="00AF58F6" w:rsidRDefault="00027654" w:rsidP="00AF58F6">
      <w:pPr>
        <w:pStyle w:val="EQ"/>
      </w:pPr>
      <w:r>
        <w:t xml:space="preserve">The interpretation is that the yield coefficient is the unit of microbes produced per unit of substrate consumed.  </w:t>
      </w:r>
      <w:r w:rsidR="00AF58F6">
        <w:t>Substituting (</w:t>
      </w:r>
      <w:r>
        <w:t>54</w:t>
      </w:r>
      <w:r w:rsidR="00AF58F6">
        <w:t>) into (</w:t>
      </w:r>
      <w:r>
        <w:t>57</w:t>
      </w:r>
      <w:r w:rsidR="00AF58F6">
        <w:t xml:space="preserve">) gives </w:t>
      </w:r>
    </w:p>
    <w:p w:rsidR="00C102FC" w:rsidRDefault="00AF58F6" w:rsidP="00C102FC">
      <w:pPr>
        <w:pStyle w:val="EQ"/>
      </w:pPr>
      <w:r>
        <w:tab/>
      </w:r>
      <w:r w:rsidR="00BB0203" w:rsidRPr="00AF58F6">
        <w:rPr>
          <w:position w:val="-32"/>
        </w:rPr>
        <w:object w:dxaOrig="2000" w:dyaOrig="760">
          <v:shape id="_x0000_i1078" type="#_x0000_t75" style="width:100pt;height:38.5pt" o:ole="">
            <v:imagedata r:id="rId129" o:title=""/>
          </v:shape>
          <o:OLEObject Type="Embed" ProgID="Equation.DSMT4" ShapeID="_x0000_i1078" DrawAspect="Content" ObjectID="_1491237357" r:id="rId130"/>
        </w:object>
      </w:r>
      <w:r>
        <w:tab/>
        <w:t>(</w:t>
      </w:r>
      <w:r w:rsidR="00027654">
        <w:t>59</w:t>
      </w:r>
      <w:r>
        <w:t>)</w:t>
      </w:r>
    </w:p>
    <w:p w:rsidR="00AF58F6" w:rsidRDefault="00AF58F6" w:rsidP="00C102FC">
      <w:pPr>
        <w:pStyle w:val="EQ"/>
      </w:pPr>
      <w:r>
        <w:t xml:space="preserve">We now have an expression for the kinetics of both the biomass concentration, </w:t>
      </w:r>
      <w:r w:rsidRPr="00027654">
        <w:rPr>
          <w:i/>
        </w:rPr>
        <w:t>C</w:t>
      </w:r>
      <w:r w:rsidR="00027654">
        <w:t xml:space="preserve"> (54</w:t>
      </w:r>
      <w:r>
        <w:t xml:space="preserve">), and the substrate concentration, </w:t>
      </w:r>
      <w:r w:rsidRPr="00027654">
        <w:rPr>
          <w:i/>
        </w:rPr>
        <w:t>S</w:t>
      </w:r>
      <w:r w:rsidRPr="00027654">
        <w:rPr>
          <w:vertAlign w:val="subscript"/>
        </w:rPr>
        <w:t>s</w:t>
      </w:r>
      <w:r>
        <w:t xml:space="preserve"> (</w:t>
      </w:r>
      <w:r w:rsidR="00027654">
        <w:t>59</w:t>
      </w:r>
      <w:r>
        <w:t xml:space="preserve">).  These two equations can be solved to determine </w:t>
      </w:r>
      <w:r w:rsidRPr="00027654">
        <w:rPr>
          <w:i/>
        </w:rPr>
        <w:t>C</w:t>
      </w:r>
      <w:r>
        <w:t xml:space="preserve"> and </w:t>
      </w:r>
      <w:r w:rsidRPr="00027654">
        <w:rPr>
          <w:i/>
        </w:rPr>
        <w:t>S</w:t>
      </w:r>
      <w:r w:rsidRPr="00027654">
        <w:rPr>
          <w:vertAlign w:val="subscript"/>
        </w:rPr>
        <w:t>s</w:t>
      </w:r>
      <w:r>
        <w:t xml:space="preserve"> as functions of time, providing the constants are known.  The constants, </w:t>
      </w:r>
      <w:r w:rsidRPr="00AF58F6">
        <w:rPr>
          <w:i/>
        </w:rPr>
        <w:t>k</w:t>
      </w:r>
      <w:r w:rsidRPr="00AF58F6">
        <w:rPr>
          <w:vertAlign w:val="subscript"/>
        </w:rPr>
        <w:t>1</w:t>
      </w:r>
      <w:r>
        <w:t xml:space="preserve">, </w:t>
      </w:r>
      <w:r w:rsidRPr="00AF58F6">
        <w:rPr>
          <w:i/>
        </w:rPr>
        <w:t>k</w:t>
      </w:r>
      <w:r w:rsidRPr="00AF58F6">
        <w:rPr>
          <w:vertAlign w:val="subscript"/>
        </w:rPr>
        <w:t>2</w:t>
      </w:r>
      <w:r>
        <w:t xml:space="preserve">, and </w:t>
      </w:r>
      <w:r w:rsidRPr="00AF58F6">
        <w:rPr>
          <w:i/>
        </w:rPr>
        <w:t>Y</w:t>
      </w:r>
      <w:r>
        <w:t xml:space="preserve"> would be determined experimentally.  </w:t>
      </w:r>
    </w:p>
    <w:p w:rsidR="00AF58F6" w:rsidRDefault="00AF58F6" w:rsidP="00AF58F6">
      <w:pPr>
        <w:pStyle w:val="Heading3"/>
      </w:pPr>
      <w:r>
        <w:t>Inhibition</w:t>
      </w:r>
    </w:p>
    <w:p w:rsidR="00AF58F6" w:rsidRDefault="00AF58F6" w:rsidP="00AF58F6">
      <w:r>
        <w:lastRenderedPageBreak/>
        <w:t xml:space="preserve">Microbial reactions can be inhibited by processes that interfere with the metabolism of the microbes, or otherwise cause difficulties.  There </w:t>
      </w:r>
      <w:r w:rsidR="00027654">
        <w:t xml:space="preserve">are </w:t>
      </w:r>
      <w:r>
        <w:t xml:space="preserve">several ways that these inhibition processes are characterized, </w:t>
      </w:r>
      <w:r w:rsidR="00027654">
        <w:t>and</w:t>
      </w:r>
      <w:r>
        <w:t xml:space="preserve"> one of them include</w:t>
      </w:r>
      <w:r w:rsidR="00027654">
        <w:t>s</w:t>
      </w:r>
      <w:r>
        <w:t xml:space="preserve"> effects related to large concentrations of a substrate.  This is call</w:t>
      </w:r>
      <w:r w:rsidR="00DC3E64">
        <w:t>ed Haldane inhibition.  Another one is related to concentrations of other compounds and it is called competitive inhibition.  These effec</w:t>
      </w:r>
      <w:r w:rsidR="00027654">
        <w:t>ts are included by modifying (59</w:t>
      </w:r>
      <w:r w:rsidR="00DC3E64">
        <w:t>) as</w:t>
      </w:r>
    </w:p>
    <w:p w:rsidR="00DC3E64" w:rsidRDefault="00DC3E64" w:rsidP="00DC3E64">
      <w:pPr>
        <w:pStyle w:val="EQ"/>
      </w:pPr>
      <w:r>
        <w:tab/>
      </w:r>
      <w:r w:rsidR="00BB0203" w:rsidRPr="00DC3E64">
        <w:rPr>
          <w:position w:val="-32"/>
        </w:rPr>
        <w:object w:dxaOrig="2420" w:dyaOrig="760">
          <v:shape id="_x0000_i1079" type="#_x0000_t75" style="width:121pt;height:38.5pt" o:ole="">
            <v:imagedata r:id="rId131" o:title=""/>
          </v:shape>
          <o:OLEObject Type="Embed" ProgID="Equation.DSMT4" ShapeID="_x0000_i1079" DrawAspect="Content" ObjectID="_1491237358" r:id="rId132"/>
        </w:object>
      </w:r>
      <w:r w:rsidR="00027654">
        <w:tab/>
        <w:t>(60a</w:t>
      </w:r>
      <w:r>
        <w:t>)</w:t>
      </w:r>
    </w:p>
    <w:p w:rsidR="00DC3E64" w:rsidRDefault="00DC3E64" w:rsidP="00DC3E64">
      <w:pPr>
        <w:pStyle w:val="EQ"/>
      </w:pPr>
      <w:r>
        <w:t>where</w:t>
      </w:r>
    </w:p>
    <w:p w:rsidR="00DC3E64" w:rsidRDefault="00DC3E64" w:rsidP="00DC3E64">
      <w:pPr>
        <w:pStyle w:val="EQ"/>
      </w:pPr>
      <w:r>
        <w:tab/>
      </w:r>
      <w:r w:rsidRPr="00DC3E64">
        <w:rPr>
          <w:position w:val="-32"/>
        </w:rPr>
        <w:object w:dxaOrig="1939" w:dyaOrig="760">
          <v:shape id="_x0000_i1080" type="#_x0000_t75" style="width:97pt;height:38.5pt" o:ole="">
            <v:imagedata r:id="rId133" o:title=""/>
          </v:shape>
          <o:OLEObject Type="Embed" ProgID="Equation.DSMT4" ShapeID="_x0000_i1080" DrawAspect="Content" ObjectID="_1491237359" r:id="rId134"/>
        </w:object>
      </w:r>
      <w:r>
        <w:tab/>
      </w:r>
      <w:r w:rsidRPr="00DC3E64">
        <w:rPr>
          <w:position w:val="-4"/>
        </w:rPr>
        <w:object w:dxaOrig="180" w:dyaOrig="279">
          <v:shape id="_x0000_i1081" type="#_x0000_t75" style="width:9pt;height:14.5pt" o:ole="">
            <v:imagedata r:id="rId61" o:title=""/>
          </v:shape>
          <o:OLEObject Type="Embed" ProgID="Equation.DSMT4" ShapeID="_x0000_i1081" DrawAspect="Content" ObjectID="_1491237360" r:id="rId135"/>
        </w:object>
      </w:r>
      <w:r w:rsidR="00027654">
        <w:t>(60</w:t>
      </w:r>
      <w:r w:rsidR="009C0E54">
        <w:t>b</w:t>
      </w:r>
      <w:r>
        <w:t>)</w:t>
      </w:r>
    </w:p>
    <w:p w:rsidR="00DC3E64" w:rsidRDefault="00DC3E64" w:rsidP="00DC3E64">
      <w:pPr>
        <w:pStyle w:val="EQ"/>
      </w:pPr>
      <w:r>
        <w:t>The inhibition functions (</w:t>
      </w:r>
      <w:r w:rsidR="00027654">
        <w:t>60b</w:t>
      </w:r>
      <w:r>
        <w:t>) increase the magnitude of the denominator in (</w:t>
      </w:r>
      <w:r w:rsidR="00027654">
        <w:t>60a</w:t>
      </w:r>
      <w:r>
        <w:t xml:space="preserve">) and reduce the rate at which the substrate changes.  The magnitude of the effect is controlled by </w:t>
      </w:r>
      <w:r w:rsidRPr="00DC3E64">
        <w:rPr>
          <w:i/>
        </w:rPr>
        <w:t>K</w:t>
      </w:r>
      <w:r w:rsidR="00027654">
        <w:rPr>
          <w:vertAlign w:val="subscript"/>
        </w:rPr>
        <w:t>h</w:t>
      </w:r>
      <w:r>
        <w:t xml:space="preserve"> and </w:t>
      </w:r>
      <w:r w:rsidRPr="00DC3E64">
        <w:rPr>
          <w:i/>
        </w:rPr>
        <w:t>K</w:t>
      </w:r>
      <w:r w:rsidR="00027654">
        <w:rPr>
          <w:vertAlign w:val="subscript"/>
        </w:rPr>
        <w:t>c</w:t>
      </w:r>
      <w:r>
        <w:t>, the Haldane and competitive inhibition constants, respectively.</w:t>
      </w:r>
    </w:p>
    <w:p w:rsidR="000F1247" w:rsidRDefault="000F1247" w:rsidP="00027654">
      <w:pPr>
        <w:pStyle w:val="Heading3"/>
      </w:pPr>
      <w:r>
        <w:t>Death</w:t>
      </w:r>
    </w:p>
    <w:p w:rsidR="000F1247" w:rsidRDefault="000F1247" w:rsidP="009C0E54">
      <w:pPr>
        <w:ind w:firstLine="0"/>
      </w:pPr>
      <w:r>
        <w:t>Microbes die in response to environmental conditions, age and other factors.  This reduces active biomass and the effect is generally represented as first-order, so</w:t>
      </w:r>
    </w:p>
    <w:p w:rsidR="000F1247" w:rsidRDefault="009C0E54" w:rsidP="009C0E54">
      <w:pPr>
        <w:pStyle w:val="EQ"/>
      </w:pPr>
      <w:r>
        <w:tab/>
      </w:r>
      <w:r w:rsidRPr="000F1247">
        <w:rPr>
          <w:position w:val="-30"/>
        </w:rPr>
        <w:object w:dxaOrig="1740" w:dyaOrig="700">
          <v:shape id="_x0000_i1082" type="#_x0000_t75" style="width:87pt;height:35pt" o:ole="">
            <v:imagedata r:id="rId136" o:title=""/>
          </v:shape>
          <o:OLEObject Type="Embed" ProgID="Equation.DSMT4" ShapeID="_x0000_i1082" DrawAspect="Content" ObjectID="_1491237361" r:id="rId137"/>
        </w:object>
      </w:r>
      <w:r w:rsidR="00027654">
        <w:tab/>
        <w:t>(61</w:t>
      </w:r>
      <w:r>
        <w:t>)</w:t>
      </w:r>
      <w:r>
        <w:tab/>
      </w:r>
      <w:r w:rsidR="000F1247">
        <w:t xml:space="preserve"> </w:t>
      </w:r>
    </w:p>
    <w:p w:rsidR="000F1247" w:rsidRDefault="00027654" w:rsidP="00027654">
      <w:pPr>
        <w:ind w:firstLine="0"/>
      </w:pPr>
      <w:r>
        <w:t>w</w:t>
      </w:r>
      <w:r w:rsidR="000F1247">
        <w:t xml:space="preserve">here </w:t>
      </w:r>
      <w:r w:rsidR="000F1247" w:rsidRPr="00027654">
        <w:rPr>
          <w:i/>
        </w:rPr>
        <w:t>k</w:t>
      </w:r>
      <w:r w:rsidR="000F1247" w:rsidRPr="00027654">
        <w:rPr>
          <w:vertAlign w:val="subscript"/>
        </w:rPr>
        <w:t>d</w:t>
      </w:r>
      <w:r w:rsidR="000F1247">
        <w:t xml:space="preserve"> is the death rate coefficient.  </w:t>
      </w:r>
    </w:p>
    <w:p w:rsidR="000F1247" w:rsidRDefault="009C0E54" w:rsidP="000F1247">
      <w:pPr>
        <w:pStyle w:val="Heading3"/>
      </w:pPr>
      <w:r>
        <w:t>A Microbial System</w:t>
      </w:r>
    </w:p>
    <w:p w:rsidR="009C0E54" w:rsidRDefault="000F1247" w:rsidP="000F1247">
      <w:r>
        <w:t>The factors outlined above can be combined to represent a system where a microbial population grows on a substrate, reaches a stable population that ultimately depletes the available substrate and then the populate declines.</w:t>
      </w:r>
    </w:p>
    <w:p w:rsidR="000F1247" w:rsidRPr="000F1247" w:rsidRDefault="009C0E54" w:rsidP="000F1247">
      <w:r>
        <w:t>The kinetics of the population contains a Monod equation for growth and a first-order rate equation for death, whi</w:t>
      </w:r>
      <w:r w:rsidR="00027654">
        <w:t>ch we get by adding (54) and (61</w:t>
      </w:r>
      <w:r>
        <w:t>)</w:t>
      </w:r>
    </w:p>
    <w:p w:rsidR="00DC3E64" w:rsidRDefault="009C0E54" w:rsidP="00DC3E64">
      <w:pPr>
        <w:pStyle w:val="EQ"/>
      </w:pPr>
      <w:r>
        <w:tab/>
      </w:r>
      <w:r w:rsidR="00DC3E64">
        <w:t xml:space="preserve">   </w:t>
      </w:r>
      <w:r w:rsidR="00B645DB" w:rsidRPr="00671767">
        <w:rPr>
          <w:position w:val="-30"/>
        </w:rPr>
        <w:object w:dxaOrig="2420" w:dyaOrig="680">
          <v:shape id="_x0000_i1083" type="#_x0000_t75" style="width:121pt;height:34pt" o:ole="">
            <v:imagedata r:id="rId138" o:title=""/>
          </v:shape>
          <o:OLEObject Type="Embed" ProgID="Equation.DSMT4" ShapeID="_x0000_i1083" DrawAspect="Content" ObjectID="_1491237362" r:id="rId139"/>
        </w:object>
      </w:r>
      <w:r>
        <w:tab/>
        <w:t>(</w:t>
      </w:r>
      <w:r w:rsidR="00A91278">
        <w:t>62a</w:t>
      </w:r>
      <w:r>
        <w:t>)</w:t>
      </w:r>
    </w:p>
    <w:p w:rsidR="009C0E54" w:rsidRDefault="009C0E54" w:rsidP="00DC3E64">
      <w:pPr>
        <w:pStyle w:val="EQ"/>
      </w:pPr>
      <w:r>
        <w:t>The substrate kinetics will ignore inhibition (that coul</w:t>
      </w:r>
      <w:r w:rsidR="00A91278">
        <w:t>d be added later), so we use (59</w:t>
      </w:r>
      <w:r>
        <w:t>) and</w:t>
      </w:r>
    </w:p>
    <w:p w:rsidR="009C0E54" w:rsidRDefault="009C0E54" w:rsidP="009C0E54">
      <w:pPr>
        <w:pStyle w:val="EQ"/>
      </w:pPr>
      <w:r>
        <w:tab/>
      </w:r>
      <w:r w:rsidR="00B645DB" w:rsidRPr="00B645DB">
        <w:rPr>
          <w:position w:val="-32"/>
        </w:rPr>
        <w:object w:dxaOrig="2079" w:dyaOrig="760">
          <v:shape id="_x0000_i1084" type="#_x0000_t75" style="width:104.5pt;height:38.5pt" o:ole="">
            <v:imagedata r:id="rId140" o:title=""/>
          </v:shape>
          <o:OLEObject Type="Embed" ProgID="Equation.DSMT4" ShapeID="_x0000_i1084" DrawAspect="Content" ObjectID="_1491237363" r:id="rId141"/>
        </w:object>
      </w:r>
      <w:r w:rsidR="00A91278">
        <w:tab/>
        <w:t>(62b</w:t>
      </w:r>
      <w:r>
        <w:t>)</w:t>
      </w:r>
    </w:p>
    <w:p w:rsidR="00215A7C" w:rsidRDefault="009C0E54" w:rsidP="00DC3E64">
      <w:pPr>
        <w:pStyle w:val="EQ"/>
      </w:pPr>
      <w:r>
        <w:lastRenderedPageBreak/>
        <w:t>This system is quite simple because we only have two unknowns</w:t>
      </w:r>
      <w:r w:rsidR="00215A7C">
        <w:t xml:space="preserve">, </w:t>
      </w:r>
      <w:r w:rsidR="00215A7C" w:rsidRPr="00215A7C">
        <w:rPr>
          <w:i/>
        </w:rPr>
        <w:t>C</w:t>
      </w:r>
      <w:r w:rsidR="00215A7C">
        <w:t xml:space="preserve"> and </w:t>
      </w:r>
      <w:r w:rsidR="00215A7C" w:rsidRPr="00215A7C">
        <w:rPr>
          <w:i/>
        </w:rPr>
        <w:t>S</w:t>
      </w:r>
      <w:r w:rsidR="00215A7C" w:rsidRPr="00215A7C">
        <w:rPr>
          <w:vertAlign w:val="subscript"/>
        </w:rPr>
        <w:t>s</w:t>
      </w:r>
      <w:r w:rsidR="00215A7C">
        <w:t>,</w:t>
      </w:r>
      <w:r>
        <w:t xml:space="preserve"> characterizing the behavior of the system and in real system there would be many possible influencing factors. We rationalize this approach by recognizing that in many complicated systems there is commonly one factor that limits the rates much more than the others, and we will assume this is </w:t>
      </w:r>
      <w:r w:rsidRPr="009C0E54">
        <w:rPr>
          <w:i/>
        </w:rPr>
        <w:t>S</w:t>
      </w:r>
      <w:r w:rsidRPr="009C0E54">
        <w:rPr>
          <w:vertAlign w:val="subscript"/>
        </w:rPr>
        <w:t>s</w:t>
      </w:r>
      <w:r>
        <w:t xml:space="preserve">. </w:t>
      </w:r>
      <w:r w:rsidR="00215A7C">
        <w:t xml:space="preserve"> </w:t>
      </w:r>
    </w:p>
    <w:p w:rsidR="00BF22BB" w:rsidRDefault="00215A7C" w:rsidP="00DC3E64">
      <w:pPr>
        <w:pStyle w:val="EQ"/>
      </w:pPr>
      <w:r>
        <w:t>The</w:t>
      </w:r>
      <w:r w:rsidR="00BF22BB">
        <w:t xml:space="preserve">re are four </w:t>
      </w:r>
      <w:r>
        <w:t>coefficients characterizing this system</w:t>
      </w:r>
      <w:r w:rsidR="00BF22BB">
        <w:t xml:space="preserve">. </w:t>
      </w:r>
      <w:r w:rsidRPr="00215A7C">
        <w:rPr>
          <w:i/>
        </w:rPr>
        <w:t>k</w:t>
      </w:r>
      <w:r w:rsidRPr="00215A7C">
        <w:rPr>
          <w:vertAlign w:val="subscript"/>
        </w:rPr>
        <w:t>c1</w:t>
      </w:r>
      <w:r>
        <w:t xml:space="preserve">, </w:t>
      </w:r>
      <w:r w:rsidRPr="00215A7C">
        <w:rPr>
          <w:i/>
        </w:rPr>
        <w:t>k</w:t>
      </w:r>
      <w:r w:rsidRPr="00215A7C">
        <w:rPr>
          <w:vertAlign w:val="subscript"/>
        </w:rPr>
        <w:t>c2</w:t>
      </w:r>
      <w:r>
        <w:t xml:space="preserve">, </w:t>
      </w:r>
      <w:r w:rsidR="00BF22BB">
        <w:t xml:space="preserve">control the rate of utilization of substrate, </w:t>
      </w:r>
      <w:r w:rsidR="00BF22BB" w:rsidRPr="00A82B1A">
        <w:rPr>
          <w:i/>
        </w:rPr>
        <w:t>Y</w:t>
      </w:r>
      <w:r w:rsidR="00BF22BB">
        <w:t xml:space="preserve"> is the ratio of biomass to substrate, </w:t>
      </w:r>
      <w:r>
        <w:t xml:space="preserve">and </w:t>
      </w:r>
      <w:r w:rsidRPr="00215A7C">
        <w:rPr>
          <w:i/>
        </w:rPr>
        <w:t>k</w:t>
      </w:r>
      <w:r w:rsidRPr="00215A7C">
        <w:rPr>
          <w:vertAlign w:val="subscript"/>
        </w:rPr>
        <w:t>d</w:t>
      </w:r>
      <w:r w:rsidR="00BF22BB">
        <w:t xml:space="preserve"> is the decay rate due to death of the organisms. </w:t>
      </w:r>
    </w:p>
    <w:p w:rsidR="009C0E54" w:rsidRDefault="00A82B1A" w:rsidP="00A82B1A">
      <w:pPr>
        <w:pStyle w:val="Heading4"/>
      </w:pPr>
      <w:r>
        <w:t xml:space="preserve">Example </w:t>
      </w:r>
      <w:r w:rsidR="00215A7C">
        <w:t xml:space="preserve"> </w:t>
      </w:r>
      <w:r w:rsidR="009C0E54">
        <w:t xml:space="preserve"> </w:t>
      </w:r>
    </w:p>
    <w:p w:rsidR="00632D04" w:rsidRDefault="00BF22BB" w:rsidP="00AF58F6">
      <w:r>
        <w:t xml:space="preserve">The analysis outlined above was applied to an idealized case describing the life cycle of a microbial population.  The figure below is from a textbook and several variations of this figure are available showing the same conceptual model of four phases.  </w:t>
      </w:r>
    </w:p>
    <w:p w:rsidR="00632D04" w:rsidRDefault="00632D04" w:rsidP="00AF58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632D04" w:rsidTr="00BF5568">
        <w:tc>
          <w:tcPr>
            <w:tcW w:w="8748" w:type="dxa"/>
          </w:tcPr>
          <w:p w:rsidR="00632D04" w:rsidRDefault="00632D04" w:rsidP="00AF58F6">
            <w:pPr>
              <w:ind w:firstLine="0"/>
            </w:pPr>
            <w:r>
              <w:rPr>
                <w:noProof/>
              </w:rPr>
              <w:drawing>
                <wp:inline distT="0" distB="0" distL="0" distR="0" wp14:anchorId="6322A0C5" wp14:editId="427E82A1">
                  <wp:extent cx="4733925" cy="3325903"/>
                  <wp:effectExtent l="0" t="0" r="0" b="8255"/>
                  <wp:docPr id="1" name="Picture 1" descr="figure_06_15_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06_15_labeled.jp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746457" cy="3334707"/>
                          </a:xfrm>
                          <a:prstGeom prst="rect">
                            <a:avLst/>
                          </a:prstGeom>
                          <a:noFill/>
                          <a:ln>
                            <a:noFill/>
                          </a:ln>
                        </pic:spPr>
                      </pic:pic>
                    </a:graphicData>
                  </a:graphic>
                </wp:inline>
              </w:drawing>
            </w:r>
          </w:p>
        </w:tc>
      </w:tr>
      <w:tr w:rsidR="00632D04" w:rsidTr="00BF5568">
        <w:tc>
          <w:tcPr>
            <w:tcW w:w="8748" w:type="dxa"/>
          </w:tcPr>
          <w:p w:rsidR="00A82B1A" w:rsidRPr="00A82B1A" w:rsidRDefault="00A82B1A" w:rsidP="00A82B1A">
            <w:pPr>
              <w:pStyle w:val="NormalWeb"/>
              <w:rPr>
                <w:rFonts w:ascii="Arial" w:hAnsi="Arial" w:cs="Arial"/>
                <w:color w:val="000000"/>
                <w:sz w:val="20"/>
                <w:szCs w:val="20"/>
              </w:rPr>
            </w:pPr>
            <w:r w:rsidRPr="00A82B1A">
              <w:rPr>
                <w:bCs/>
                <w:color w:val="000000"/>
              </w:rPr>
              <w:t xml:space="preserve">Figure 4.   Biomass as a function of time during 4 characteristic phases.   Processes during the phases are described below.  From </w:t>
            </w:r>
            <w:hyperlink r:id="rId143" w:history="1">
              <w:r w:rsidRPr="00A82B1A">
                <w:rPr>
                  <w:rStyle w:val="Hyperlink"/>
                  <w:sz w:val="20"/>
                  <w:szCs w:val="20"/>
                </w:rPr>
                <w:t>http://www2.raritanval.edu/departments/Science/full-time/Weber/Microbiology%20Majors/Chapter6sub/Chapter6sub_print.html</w:t>
              </w:r>
            </w:hyperlink>
          </w:p>
          <w:p w:rsidR="00A82B1A" w:rsidRDefault="00A82B1A" w:rsidP="00632D04">
            <w:pPr>
              <w:pStyle w:val="NormalWeb"/>
              <w:rPr>
                <w:rFonts w:ascii="Arial" w:hAnsi="Arial" w:cs="Arial"/>
                <w:b/>
                <w:bCs/>
                <w:color w:val="000000"/>
                <w:sz w:val="20"/>
                <w:szCs w:val="20"/>
              </w:rPr>
            </w:pPr>
          </w:p>
          <w:p w:rsidR="00632D04" w:rsidRPr="00A82B1A" w:rsidRDefault="00632D04" w:rsidP="00BF5568">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A82B1A">
              <w:rPr>
                <w:rFonts w:ascii="Arial" w:hAnsi="Arial" w:cs="Arial"/>
                <w:color w:val="000000"/>
                <w:sz w:val="20"/>
                <w:szCs w:val="20"/>
              </w:rPr>
              <w:t>1.) In the</w:t>
            </w:r>
            <w:r w:rsidRPr="00A82B1A">
              <w:rPr>
                <w:rStyle w:val="apple-converted-space"/>
                <w:rFonts w:ascii="Arial" w:hAnsi="Arial" w:cs="Arial"/>
                <w:color w:val="000000"/>
                <w:sz w:val="20"/>
                <w:szCs w:val="20"/>
              </w:rPr>
              <w:t> </w:t>
            </w:r>
            <w:r w:rsidRPr="00A82B1A">
              <w:rPr>
                <w:rFonts w:ascii="Arial" w:hAnsi="Arial" w:cs="Arial"/>
                <w:b/>
                <w:bCs/>
                <w:color w:val="000000"/>
                <w:sz w:val="20"/>
                <w:szCs w:val="20"/>
              </w:rPr>
              <w:t>lag phase</w:t>
            </w:r>
            <w:r w:rsidRPr="00A82B1A">
              <w:rPr>
                <w:rFonts w:ascii="Arial" w:hAnsi="Arial" w:cs="Arial"/>
                <w:color w:val="000000"/>
                <w:sz w:val="20"/>
                <w:szCs w:val="20"/>
              </w:rPr>
              <w:t>, the organisms are adjusting to their environment. The proteins (enzymes) necessary for energy production and binary fission are being produced and the ribosomes necessary for their production are also being synthesized. Notice the population numbers are stagnant at this phase.</w:t>
            </w:r>
          </w:p>
          <w:p w:rsidR="00632D04" w:rsidRPr="00A82B1A" w:rsidRDefault="00632D04" w:rsidP="00BF5568">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A82B1A">
              <w:rPr>
                <w:rFonts w:ascii="Arial" w:hAnsi="Arial" w:cs="Arial"/>
                <w:color w:val="000000"/>
                <w:sz w:val="20"/>
                <w:szCs w:val="20"/>
              </w:rPr>
              <w:t> 2.) In the</w:t>
            </w:r>
            <w:r w:rsidRPr="00A82B1A">
              <w:rPr>
                <w:rStyle w:val="apple-converted-space"/>
                <w:rFonts w:ascii="Arial" w:hAnsi="Arial" w:cs="Arial"/>
                <w:color w:val="000000"/>
                <w:sz w:val="20"/>
                <w:szCs w:val="20"/>
              </w:rPr>
              <w:t> </w:t>
            </w:r>
            <w:r w:rsidRPr="00A82B1A">
              <w:rPr>
                <w:rFonts w:ascii="Arial" w:hAnsi="Arial" w:cs="Arial"/>
                <w:b/>
                <w:bCs/>
                <w:color w:val="000000"/>
                <w:sz w:val="20"/>
                <w:szCs w:val="20"/>
              </w:rPr>
              <w:t>log phase</w:t>
            </w:r>
            <w:r w:rsidRPr="00A82B1A">
              <w:rPr>
                <w:rFonts w:ascii="Arial" w:hAnsi="Arial" w:cs="Arial"/>
                <w:color w:val="000000"/>
                <w:sz w:val="20"/>
                <w:szCs w:val="20"/>
              </w:rPr>
              <w:t xml:space="preserve">, the population is most actively growing. This is a linear line when plotted </w:t>
            </w:r>
            <w:r w:rsidRPr="00A82B1A">
              <w:rPr>
                <w:rFonts w:ascii="Arial" w:hAnsi="Arial" w:cs="Arial"/>
                <w:color w:val="000000"/>
                <w:sz w:val="20"/>
                <w:szCs w:val="20"/>
              </w:rPr>
              <w:lastRenderedPageBreak/>
              <w:t>on a semi-log scale. This represents the exponential growth described above.</w:t>
            </w:r>
          </w:p>
          <w:p w:rsidR="00632D04" w:rsidRPr="00A82B1A" w:rsidRDefault="00632D04" w:rsidP="00BF5568">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A82B1A">
              <w:rPr>
                <w:rFonts w:ascii="Arial" w:hAnsi="Arial" w:cs="Arial"/>
                <w:color w:val="000000"/>
                <w:sz w:val="20"/>
                <w:szCs w:val="20"/>
              </w:rPr>
              <w:t> 3.) In the</w:t>
            </w:r>
            <w:r w:rsidRPr="00A82B1A">
              <w:rPr>
                <w:rStyle w:val="apple-converted-space"/>
                <w:rFonts w:ascii="Arial" w:hAnsi="Arial" w:cs="Arial"/>
                <w:color w:val="000000"/>
                <w:sz w:val="20"/>
                <w:szCs w:val="20"/>
              </w:rPr>
              <w:t> </w:t>
            </w:r>
            <w:r w:rsidRPr="00A82B1A">
              <w:rPr>
                <w:rFonts w:ascii="Arial" w:hAnsi="Arial" w:cs="Arial"/>
                <w:b/>
                <w:bCs/>
                <w:color w:val="000000"/>
                <w:sz w:val="20"/>
                <w:szCs w:val="20"/>
              </w:rPr>
              <w:t>stationary phase</w:t>
            </w:r>
            <w:r w:rsidRPr="00A82B1A">
              <w:rPr>
                <w:rFonts w:ascii="Arial" w:hAnsi="Arial" w:cs="Arial"/>
                <w:color w:val="000000"/>
                <w:sz w:val="20"/>
                <w:szCs w:val="20"/>
              </w:rPr>
              <w:t>, new organisms are being produced at the same rate at which they are dying. This represents a sort of equilibrium between cell birth and cell death. The availability of nutrients and oxygen are becoming limiting and the cell are scrambling to survive by making adjustments within the cell.</w:t>
            </w:r>
          </w:p>
          <w:p w:rsidR="00632D04" w:rsidRPr="00A82B1A" w:rsidRDefault="00632D04" w:rsidP="00BF5568">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A82B1A">
              <w:rPr>
                <w:rFonts w:ascii="Arial" w:hAnsi="Arial" w:cs="Arial"/>
                <w:color w:val="000000"/>
                <w:sz w:val="20"/>
                <w:szCs w:val="20"/>
              </w:rPr>
              <w:t> 4.) In the</w:t>
            </w:r>
            <w:r w:rsidRPr="00A82B1A">
              <w:rPr>
                <w:rStyle w:val="apple-converted-space"/>
                <w:rFonts w:ascii="Arial" w:hAnsi="Arial" w:cs="Arial"/>
                <w:color w:val="000000"/>
                <w:sz w:val="20"/>
                <w:szCs w:val="20"/>
              </w:rPr>
              <w:t> </w:t>
            </w:r>
            <w:r w:rsidRPr="00A82B1A">
              <w:rPr>
                <w:rFonts w:ascii="Arial" w:hAnsi="Arial" w:cs="Arial"/>
                <w:b/>
                <w:bCs/>
                <w:color w:val="000000"/>
                <w:sz w:val="20"/>
                <w:szCs w:val="20"/>
              </w:rPr>
              <w:t>death phase</w:t>
            </w:r>
            <w:r w:rsidRPr="00A82B1A">
              <w:rPr>
                <w:rFonts w:ascii="Arial" w:hAnsi="Arial" w:cs="Arial"/>
                <w:color w:val="000000"/>
                <w:sz w:val="20"/>
                <w:szCs w:val="20"/>
              </w:rPr>
              <w:t>, the organisms are dying more quickly than they can be replaced by new organisms. This is a shift away from the equilibrium described in stationary phase. Despite their best efforts, the cells cannot adapt to the harsh conditions descibed above and begin to lyse, deceasing the cell number. Notice, when the population starts to thin out it doesn't die off arithmetically (one-by-one), the population decreases</w:t>
            </w:r>
            <w:r w:rsidRPr="00A82B1A">
              <w:rPr>
                <w:rStyle w:val="apple-converted-space"/>
                <w:rFonts w:ascii="Arial" w:hAnsi="Arial" w:cs="Arial"/>
                <w:color w:val="000000"/>
                <w:sz w:val="20"/>
                <w:szCs w:val="20"/>
              </w:rPr>
              <w:t> </w:t>
            </w:r>
            <w:r w:rsidRPr="00A82B1A">
              <w:rPr>
                <w:rFonts w:ascii="Arial" w:hAnsi="Arial" w:cs="Arial"/>
                <w:b/>
                <w:bCs/>
                <w:color w:val="000000"/>
                <w:sz w:val="20"/>
                <w:szCs w:val="20"/>
              </w:rPr>
              <w:t>exponentially</w:t>
            </w:r>
            <w:r w:rsidRPr="00A82B1A">
              <w:rPr>
                <w:rStyle w:val="apple-converted-space"/>
                <w:rFonts w:ascii="Arial" w:hAnsi="Arial" w:cs="Arial"/>
                <w:color w:val="000000"/>
                <w:sz w:val="20"/>
                <w:szCs w:val="20"/>
              </w:rPr>
              <w:t> </w:t>
            </w:r>
            <w:r w:rsidRPr="00A82B1A">
              <w:rPr>
                <w:rFonts w:ascii="Arial" w:hAnsi="Arial" w:cs="Arial"/>
                <w:color w:val="000000"/>
                <w:sz w:val="20"/>
                <w:szCs w:val="20"/>
              </w:rPr>
              <w:t xml:space="preserve">similar to the linear nature of cell birth seen in log phage. It is the exponential death that prevents the earth from being overtaken by bacteria. </w:t>
            </w:r>
          </w:p>
          <w:p w:rsidR="00632D04" w:rsidRPr="00A82B1A" w:rsidRDefault="00E567EA" w:rsidP="00BF5568">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hyperlink r:id="rId144" w:history="1">
              <w:r w:rsidR="00632D04" w:rsidRPr="00A82B1A">
                <w:rPr>
                  <w:rStyle w:val="Hyperlink"/>
                  <w:sz w:val="20"/>
                  <w:szCs w:val="20"/>
                </w:rPr>
                <w:t>http://www2.raritanval.edu/departments/Science/full-time/Weber/Microbiology%20Majors/Chapter6sub/Chapter6sub_print.html</w:t>
              </w:r>
            </w:hyperlink>
          </w:p>
          <w:p w:rsidR="00632D04" w:rsidRPr="00A82B1A" w:rsidRDefault="00632D04" w:rsidP="00AF58F6">
            <w:pPr>
              <w:ind w:firstLine="0"/>
              <w:rPr>
                <w:sz w:val="20"/>
              </w:rPr>
            </w:pPr>
          </w:p>
        </w:tc>
      </w:tr>
    </w:tbl>
    <w:p w:rsidR="00BF22BB" w:rsidRDefault="00BF22BB" w:rsidP="00AF58F6"/>
    <w:p w:rsidR="00BF22BB" w:rsidRPr="00B645DB" w:rsidRDefault="00BF22BB" w:rsidP="00AF58F6">
      <w:pPr>
        <w:rPr>
          <w:color w:val="D9D9D9" w:themeColor="background1" w:themeShade="D9"/>
        </w:rPr>
      </w:pPr>
      <w:r w:rsidRPr="00B645DB">
        <w:rPr>
          <w:color w:val="D9D9D9" w:themeColor="background1" w:themeShade="D9"/>
        </w:rPr>
        <w:t>The</w:t>
      </w:r>
      <w:r w:rsidR="00A91278" w:rsidRPr="00B645DB">
        <w:rPr>
          <w:color w:val="D9D9D9" w:themeColor="background1" w:themeShade="D9"/>
        </w:rPr>
        <w:t xml:space="preserve"> analysis given by equations (62</w:t>
      </w:r>
      <w:r w:rsidRPr="00B645DB">
        <w:rPr>
          <w:color w:val="D9D9D9" w:themeColor="background1" w:themeShade="D9"/>
        </w:rPr>
        <w:t xml:space="preserve">) was set up </w:t>
      </w:r>
      <w:r w:rsidR="00772819" w:rsidRPr="00B645DB">
        <w:rPr>
          <w:color w:val="D9D9D9" w:themeColor="background1" w:themeShade="D9"/>
        </w:rPr>
        <w:t>and parameters were adjusted manually to give responses</w:t>
      </w:r>
      <w:r w:rsidR="00A82B1A" w:rsidRPr="00B645DB">
        <w:rPr>
          <w:color w:val="D9D9D9" w:themeColor="background1" w:themeShade="D9"/>
        </w:rPr>
        <w:t xml:space="preserve"> similar to Figure 4</w:t>
      </w:r>
      <w:r w:rsidR="00772819" w:rsidRPr="00B645DB">
        <w:rPr>
          <w:color w:val="D9D9D9" w:themeColor="background1" w:themeShade="D9"/>
        </w:rPr>
        <w:t xml:space="preserve">.  A </w:t>
      </w:r>
      <w:r w:rsidR="00772819" w:rsidRPr="00B645DB">
        <w:rPr>
          <w:i/>
          <w:color w:val="D9D9D9" w:themeColor="background1" w:themeShade="D9"/>
        </w:rPr>
        <w:t>Y</w:t>
      </w:r>
      <w:r w:rsidR="00772819" w:rsidRPr="00B645DB">
        <w:rPr>
          <w:color w:val="D9D9D9" w:themeColor="background1" w:themeShade="D9"/>
        </w:rPr>
        <w:t xml:space="preserve"> value of 0.7 was used.  The first set of analyses used </w:t>
      </w:r>
      <w:r w:rsidR="00772819" w:rsidRPr="00B645DB">
        <w:rPr>
          <w:i/>
          <w:color w:val="D9D9D9" w:themeColor="background1" w:themeShade="D9"/>
        </w:rPr>
        <w:t>k</w:t>
      </w:r>
      <w:r w:rsidR="00772819" w:rsidRPr="00B645DB">
        <w:rPr>
          <w:color w:val="D9D9D9" w:themeColor="background1" w:themeShade="D9"/>
          <w:vertAlign w:val="subscript"/>
        </w:rPr>
        <w:t>d</w:t>
      </w:r>
      <w:r w:rsidR="00A91278" w:rsidRPr="00B645DB">
        <w:rPr>
          <w:color w:val="D9D9D9" w:themeColor="background1" w:themeShade="D9"/>
          <w:vertAlign w:val="subscript"/>
        </w:rPr>
        <w:t xml:space="preserve"> </w:t>
      </w:r>
      <w:r w:rsidR="00772819" w:rsidRPr="00B645DB">
        <w:rPr>
          <w:color w:val="D9D9D9" w:themeColor="background1" w:themeShade="D9"/>
        </w:rPr>
        <w:t>=</w:t>
      </w:r>
      <w:r w:rsidR="00A91278" w:rsidRPr="00B645DB">
        <w:rPr>
          <w:color w:val="D9D9D9" w:themeColor="background1" w:themeShade="D9"/>
        </w:rPr>
        <w:t xml:space="preserve"> </w:t>
      </w:r>
      <w:r w:rsidR="00772819" w:rsidRPr="00B645DB">
        <w:rPr>
          <w:color w:val="D9D9D9" w:themeColor="background1" w:themeShade="D9"/>
        </w:rPr>
        <w:t xml:space="preserve">0 and </w:t>
      </w:r>
      <w:r w:rsidR="00772819" w:rsidRPr="00B645DB">
        <w:rPr>
          <w:i/>
          <w:color w:val="D9D9D9" w:themeColor="background1" w:themeShade="D9"/>
        </w:rPr>
        <w:t>k</w:t>
      </w:r>
      <w:r w:rsidR="00772819" w:rsidRPr="00B645DB">
        <w:rPr>
          <w:color w:val="D9D9D9" w:themeColor="background1" w:themeShade="D9"/>
          <w:vertAlign w:val="subscript"/>
        </w:rPr>
        <w:t>d</w:t>
      </w:r>
      <w:r w:rsidR="00A91278" w:rsidRPr="00B645DB">
        <w:rPr>
          <w:color w:val="D9D9D9" w:themeColor="background1" w:themeShade="D9"/>
          <w:vertAlign w:val="subscript"/>
        </w:rPr>
        <w:t xml:space="preserve"> </w:t>
      </w:r>
      <w:r w:rsidR="00772819" w:rsidRPr="00B645DB">
        <w:rPr>
          <w:color w:val="D9D9D9" w:themeColor="background1" w:themeShade="D9"/>
        </w:rPr>
        <w:t>=</w:t>
      </w:r>
      <w:r w:rsidR="00A91278" w:rsidRPr="00B645DB">
        <w:rPr>
          <w:color w:val="D9D9D9" w:themeColor="background1" w:themeShade="D9"/>
        </w:rPr>
        <w:t xml:space="preserve"> </w:t>
      </w:r>
      <w:r w:rsidR="00772819" w:rsidRPr="00B645DB">
        <w:rPr>
          <w:color w:val="D9D9D9" w:themeColor="background1" w:themeShade="D9"/>
        </w:rPr>
        <w:t>0.0002 s</w:t>
      </w:r>
      <w:r w:rsidR="00772819" w:rsidRPr="00B645DB">
        <w:rPr>
          <w:color w:val="D9D9D9" w:themeColor="background1" w:themeShade="D9"/>
          <w:vertAlign w:val="superscript"/>
        </w:rPr>
        <w:t>-1</w:t>
      </w:r>
      <w:r w:rsidR="00772819" w:rsidRPr="00B645DB">
        <w:rPr>
          <w:color w:val="D9D9D9" w:themeColor="background1" w:themeShade="D9"/>
        </w:rPr>
        <w:t xml:space="preserve"> (Fig. </w:t>
      </w:r>
      <w:r w:rsidR="00A82B1A" w:rsidRPr="00B645DB">
        <w:rPr>
          <w:color w:val="D9D9D9" w:themeColor="background1" w:themeShade="D9"/>
        </w:rPr>
        <w:t>5</w:t>
      </w:r>
      <w:r w:rsidR="00772819" w:rsidRPr="00B645DB">
        <w:rPr>
          <w:color w:val="D9D9D9" w:themeColor="background1" w:themeShade="D9"/>
        </w:rPr>
        <w:t>).  The initial substrate concentration was set equal to 1, and the biomass was set to 0.01 initially.</w:t>
      </w:r>
      <w:r w:rsidR="00B72C79" w:rsidRPr="00B645DB">
        <w:rPr>
          <w:color w:val="D9D9D9" w:themeColor="background1" w:themeShade="D9"/>
        </w:rPr>
        <w:t xml:space="preserve">  The </w:t>
      </w:r>
      <w:r w:rsidR="00772819" w:rsidRPr="00B645DB">
        <w:rPr>
          <w:color w:val="D9D9D9" w:themeColor="background1" w:themeShade="D9"/>
        </w:rPr>
        <w:t>units on substrate and biomass concen</w:t>
      </w:r>
      <w:r w:rsidR="00B72C79" w:rsidRPr="00B645DB">
        <w:rPr>
          <w:color w:val="D9D9D9" w:themeColor="background1" w:themeShade="D9"/>
        </w:rPr>
        <w:t>tration</w:t>
      </w:r>
      <w:r w:rsidR="00772819" w:rsidRPr="00B645DB">
        <w:rPr>
          <w:color w:val="D9D9D9" w:themeColor="background1" w:themeShade="D9"/>
        </w:rPr>
        <w:t xml:space="preserve"> </w:t>
      </w:r>
      <w:r w:rsidR="00B72C79" w:rsidRPr="00B645DB">
        <w:rPr>
          <w:color w:val="D9D9D9" w:themeColor="background1" w:themeShade="D9"/>
        </w:rPr>
        <w:t>were not given in the figure above, so they are arbitrary.</w:t>
      </w:r>
      <w:r w:rsidR="00772819" w:rsidRPr="00B645DB">
        <w:rPr>
          <w:color w:val="D9D9D9" w:themeColor="background1" w:themeShade="D9"/>
        </w:rPr>
        <w:t xml:space="preserve"> </w:t>
      </w:r>
    </w:p>
    <w:tbl>
      <w:tblPr>
        <w:tblStyle w:val="TableGrid"/>
        <w:tblpPr w:leftFromText="180" w:rightFromText="180" w:vertAnchor="text" w:horzAnchor="margin" w:tblpXSpec="right" w:tblpY="212"/>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5A4BAE" w:rsidRPr="00B645DB" w:rsidTr="00CA448B">
        <w:trPr>
          <w:jc w:val="right"/>
        </w:trPr>
        <w:tc>
          <w:tcPr>
            <w:tcW w:w="4788" w:type="dxa"/>
          </w:tcPr>
          <w:p w:rsidR="005A4BAE" w:rsidRPr="00B645DB" w:rsidRDefault="005A4BAE" w:rsidP="00CA448B">
            <w:pPr>
              <w:ind w:firstLine="0"/>
              <w:rPr>
                <w:color w:val="D9D9D9" w:themeColor="background1" w:themeShade="D9"/>
              </w:rPr>
            </w:pPr>
            <w:r w:rsidRPr="00B645DB">
              <w:rPr>
                <w:noProof/>
                <w:color w:val="D9D9D9" w:themeColor="background1" w:themeShade="D9"/>
              </w:rPr>
              <w:drawing>
                <wp:inline distT="0" distB="0" distL="0" distR="0" wp14:anchorId="2711865C" wp14:editId="665C377C">
                  <wp:extent cx="2794000" cy="2095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5"/>
                          <a:stretch>
                            <a:fillRect/>
                          </a:stretch>
                        </pic:blipFill>
                        <pic:spPr>
                          <a:xfrm>
                            <a:off x="0" y="0"/>
                            <a:ext cx="2794000" cy="2095500"/>
                          </a:xfrm>
                          <a:prstGeom prst="rect">
                            <a:avLst/>
                          </a:prstGeom>
                        </pic:spPr>
                      </pic:pic>
                    </a:graphicData>
                  </a:graphic>
                </wp:inline>
              </w:drawing>
            </w:r>
          </w:p>
        </w:tc>
      </w:tr>
      <w:tr w:rsidR="005A4BAE" w:rsidRPr="00B645DB" w:rsidTr="00CA448B">
        <w:trPr>
          <w:jc w:val="right"/>
        </w:trPr>
        <w:tc>
          <w:tcPr>
            <w:tcW w:w="4788" w:type="dxa"/>
          </w:tcPr>
          <w:p w:rsidR="005A4BAE" w:rsidRPr="00B645DB" w:rsidRDefault="005A4BAE" w:rsidP="00CA448B">
            <w:pPr>
              <w:ind w:firstLine="0"/>
              <w:rPr>
                <w:color w:val="D9D9D9" w:themeColor="background1" w:themeShade="D9"/>
              </w:rPr>
            </w:pPr>
            <w:r w:rsidRPr="00B645DB">
              <w:rPr>
                <w:color w:val="D9D9D9" w:themeColor="background1" w:themeShade="D9"/>
              </w:rPr>
              <w:t>Fig</w:t>
            </w:r>
            <w:r w:rsidR="00A82B1A" w:rsidRPr="00B645DB">
              <w:rPr>
                <w:color w:val="D9D9D9" w:themeColor="background1" w:themeShade="D9"/>
              </w:rPr>
              <w:t>ure 5</w:t>
            </w:r>
            <w:r w:rsidRPr="00B645DB">
              <w:rPr>
                <w:color w:val="D9D9D9" w:themeColor="background1" w:themeShade="D9"/>
              </w:rPr>
              <w:t xml:space="preserve">.     Substrate concentration (black) and biomass concentration with </w:t>
            </w:r>
            <w:r w:rsidRPr="00B645DB">
              <w:rPr>
                <w:i/>
                <w:color w:val="D9D9D9" w:themeColor="background1" w:themeShade="D9"/>
              </w:rPr>
              <w:t>k</w:t>
            </w:r>
            <w:r w:rsidRPr="00B645DB">
              <w:rPr>
                <w:color w:val="D9D9D9" w:themeColor="background1" w:themeShade="D9"/>
                <w:vertAlign w:val="subscript"/>
              </w:rPr>
              <w:t>d</w:t>
            </w:r>
            <w:r w:rsidRPr="00B645DB">
              <w:rPr>
                <w:color w:val="D9D9D9" w:themeColor="background1" w:themeShade="D9"/>
              </w:rPr>
              <w:t xml:space="preserve">=0 (blue).  </w:t>
            </w:r>
            <w:r w:rsidRPr="00B645DB">
              <w:rPr>
                <w:i/>
                <w:color w:val="D9D9D9" w:themeColor="background1" w:themeShade="D9"/>
              </w:rPr>
              <w:t>k</w:t>
            </w:r>
            <w:r w:rsidRPr="00B645DB">
              <w:rPr>
                <w:color w:val="D9D9D9" w:themeColor="background1" w:themeShade="D9"/>
                <w:vertAlign w:val="subscript"/>
              </w:rPr>
              <w:t>d</w:t>
            </w:r>
            <w:r w:rsidRPr="00B645DB">
              <w:rPr>
                <w:color w:val="D9D9D9" w:themeColor="background1" w:themeShade="D9"/>
              </w:rPr>
              <w:t>=0.0002 s</w:t>
            </w:r>
            <w:r w:rsidRPr="00B645DB">
              <w:rPr>
                <w:color w:val="D9D9D9" w:themeColor="background1" w:themeShade="D9"/>
                <w:vertAlign w:val="superscript"/>
              </w:rPr>
              <w:t>-1</w:t>
            </w:r>
            <w:r w:rsidRPr="00B645DB">
              <w:rPr>
                <w:color w:val="D9D9D9" w:themeColor="background1" w:themeShade="D9"/>
              </w:rPr>
              <w:t xml:space="preserve"> (green).  </w:t>
            </w:r>
          </w:p>
        </w:tc>
      </w:tr>
    </w:tbl>
    <w:p w:rsidR="00B72C79" w:rsidRPr="00B645DB" w:rsidRDefault="005A4BAE" w:rsidP="00AF58F6">
      <w:pPr>
        <w:rPr>
          <w:color w:val="D9D9D9" w:themeColor="background1" w:themeShade="D9"/>
        </w:rPr>
      </w:pPr>
      <w:r w:rsidRPr="00B645DB">
        <w:rPr>
          <w:color w:val="D9D9D9" w:themeColor="background1" w:themeShade="D9"/>
        </w:rPr>
        <w:t xml:space="preserve"> </w:t>
      </w:r>
      <w:r w:rsidR="00772819" w:rsidRPr="00B645DB">
        <w:rPr>
          <w:color w:val="D9D9D9" w:themeColor="background1" w:themeShade="D9"/>
        </w:rPr>
        <w:t xml:space="preserve">The biomass increases sharply initially and levels out at 0.7, a value controlled by </w:t>
      </w:r>
      <w:r w:rsidR="00772819" w:rsidRPr="00B645DB">
        <w:rPr>
          <w:i/>
          <w:color w:val="D9D9D9" w:themeColor="background1" w:themeShade="D9"/>
        </w:rPr>
        <w:t>Y</w:t>
      </w:r>
      <w:r w:rsidR="00772819" w:rsidRPr="00B645DB">
        <w:rPr>
          <w:color w:val="D9D9D9" w:themeColor="background1" w:themeShade="D9"/>
        </w:rPr>
        <w:t xml:space="preserve">, when kd=0 (Fig. </w:t>
      </w:r>
      <w:r w:rsidR="00A82B1A" w:rsidRPr="00B645DB">
        <w:rPr>
          <w:color w:val="D9D9D9" w:themeColor="background1" w:themeShade="D9"/>
        </w:rPr>
        <w:t>5</w:t>
      </w:r>
      <w:r w:rsidR="00772819" w:rsidRPr="00B645DB">
        <w:rPr>
          <w:color w:val="D9D9D9" w:themeColor="background1" w:themeShade="D9"/>
        </w:rPr>
        <w:t xml:space="preserve">).  When </w:t>
      </w:r>
      <w:r w:rsidR="00772819" w:rsidRPr="00B645DB">
        <w:rPr>
          <w:i/>
          <w:color w:val="D9D9D9" w:themeColor="background1" w:themeShade="D9"/>
        </w:rPr>
        <w:t>k</w:t>
      </w:r>
      <w:r w:rsidR="00772819" w:rsidRPr="00B645DB">
        <w:rPr>
          <w:color w:val="D9D9D9" w:themeColor="background1" w:themeShade="D9"/>
          <w:vertAlign w:val="subscript"/>
        </w:rPr>
        <w:t>d</w:t>
      </w:r>
      <w:r w:rsidR="00772819" w:rsidRPr="00B645DB">
        <w:rPr>
          <w:color w:val="D9D9D9" w:themeColor="background1" w:themeShade="D9"/>
        </w:rPr>
        <w:t>=0.0002 s</w:t>
      </w:r>
      <w:r w:rsidR="00772819" w:rsidRPr="00B645DB">
        <w:rPr>
          <w:color w:val="D9D9D9" w:themeColor="background1" w:themeShade="D9"/>
          <w:vertAlign w:val="superscript"/>
        </w:rPr>
        <w:t>-1</w:t>
      </w:r>
      <w:r w:rsidR="00B72C79" w:rsidRPr="00B645DB">
        <w:rPr>
          <w:color w:val="D9D9D9" w:themeColor="background1" w:themeShade="D9"/>
        </w:rPr>
        <w:t>, the biomass concentration rises to a peak value of 0.4 and then decreases as the population dies off.  In both cases, the substrate concentration decreases and is negligible in roughly 10,000s.</w:t>
      </w:r>
    </w:p>
    <w:p w:rsidR="00772819" w:rsidRPr="00B645DB" w:rsidRDefault="00B72C79" w:rsidP="00AF58F6">
      <w:pPr>
        <w:rPr>
          <w:color w:val="D9D9D9" w:themeColor="background1" w:themeShade="D9"/>
        </w:rPr>
      </w:pPr>
      <w:r w:rsidRPr="00B645DB">
        <w:rPr>
          <w:color w:val="D9D9D9" w:themeColor="background1" w:themeShade="D9"/>
        </w:rPr>
        <w:t>The observations of microbial systems (Fig</w:t>
      </w:r>
      <w:r w:rsidR="00A82B1A" w:rsidRPr="00B645DB">
        <w:rPr>
          <w:color w:val="D9D9D9" w:themeColor="background1" w:themeShade="D9"/>
        </w:rPr>
        <w:t>. 4</w:t>
      </w:r>
      <w:r w:rsidRPr="00B645DB">
        <w:rPr>
          <w:color w:val="D9D9D9" w:themeColor="background1" w:themeShade="D9"/>
        </w:rPr>
        <w:t xml:space="preserve">) </w:t>
      </w:r>
      <w:r w:rsidR="00F21A62" w:rsidRPr="00B645DB">
        <w:rPr>
          <w:color w:val="D9D9D9" w:themeColor="background1" w:themeShade="D9"/>
        </w:rPr>
        <w:t xml:space="preserve">generally </w:t>
      </w:r>
      <w:r w:rsidRPr="00B645DB">
        <w:rPr>
          <w:color w:val="D9D9D9" w:themeColor="background1" w:themeShade="D9"/>
        </w:rPr>
        <w:t>resembles the green line in Figure</w:t>
      </w:r>
      <w:r w:rsidR="00F21A62" w:rsidRPr="00B645DB">
        <w:rPr>
          <w:color w:val="D9D9D9" w:themeColor="background1" w:themeShade="D9"/>
        </w:rPr>
        <w:t xml:space="preserve"> 5</w:t>
      </w:r>
      <w:r w:rsidRPr="00B645DB">
        <w:rPr>
          <w:color w:val="D9D9D9" w:themeColor="background1" w:themeShade="D9"/>
        </w:rPr>
        <w:t>, but there are some key differences.   A lag period is observed in real situations, but the biomass starts to increase immediately in the analysis.  The lag period occurs as the microbes figure out what to do with the substrate (the caption in the figure above states this in</w:t>
      </w:r>
      <w:r w:rsidR="00156D77" w:rsidRPr="00B645DB">
        <w:rPr>
          <w:color w:val="D9D9D9" w:themeColor="background1" w:themeShade="D9"/>
        </w:rPr>
        <w:t xml:space="preserve"> microbiological terms</w:t>
      </w:r>
      <w:r w:rsidRPr="00B645DB">
        <w:rPr>
          <w:color w:val="D9D9D9" w:themeColor="background1" w:themeShade="D9"/>
        </w:rPr>
        <w:t xml:space="preserve">).  As a result, it seems reasonable to expect that the growth mechanisms take some time to mature, so </w:t>
      </w:r>
      <w:r w:rsidRPr="00B645DB">
        <w:rPr>
          <w:i/>
          <w:color w:val="D9D9D9" w:themeColor="background1" w:themeShade="D9"/>
        </w:rPr>
        <w:t>k</w:t>
      </w:r>
      <w:r w:rsidRPr="00B645DB">
        <w:rPr>
          <w:color w:val="D9D9D9" w:themeColor="background1" w:themeShade="D9"/>
          <w:vertAlign w:val="subscript"/>
        </w:rPr>
        <w:t>c1</w:t>
      </w:r>
      <w:r w:rsidRPr="00B645DB">
        <w:rPr>
          <w:color w:val="D9D9D9" w:themeColor="background1" w:themeShade="D9"/>
        </w:rPr>
        <w:t xml:space="preserve"> likely </w:t>
      </w:r>
      <w:r w:rsidR="00156D77" w:rsidRPr="00B645DB">
        <w:rPr>
          <w:color w:val="D9D9D9" w:themeColor="background1" w:themeShade="D9"/>
        </w:rPr>
        <w:t>increases</w:t>
      </w:r>
      <w:r w:rsidRPr="00B645DB">
        <w:rPr>
          <w:color w:val="D9D9D9" w:themeColor="background1" w:themeShade="D9"/>
        </w:rPr>
        <w:t xml:space="preserve"> with time</w:t>
      </w:r>
      <w:r w:rsidR="00156D77" w:rsidRPr="00B645DB">
        <w:rPr>
          <w:color w:val="D9D9D9" w:themeColor="background1" w:themeShade="D9"/>
        </w:rPr>
        <w:t xml:space="preserve"> as the microbes mature during the lag phase</w:t>
      </w:r>
      <w:r w:rsidRPr="00B645DB">
        <w:rPr>
          <w:color w:val="D9D9D9" w:themeColor="background1" w:themeShade="D9"/>
        </w:rPr>
        <w:t>.  Th</w:t>
      </w:r>
      <w:r w:rsidR="00156D77" w:rsidRPr="00B645DB">
        <w:rPr>
          <w:color w:val="D9D9D9" w:themeColor="background1" w:themeShade="D9"/>
        </w:rPr>
        <w:t>is process is represented in the</w:t>
      </w:r>
      <w:r w:rsidRPr="00B645DB">
        <w:rPr>
          <w:color w:val="D9D9D9" w:themeColor="background1" w:themeShade="D9"/>
        </w:rPr>
        <w:t xml:space="preserve"> analysis </w:t>
      </w:r>
      <w:r w:rsidR="00156D77" w:rsidRPr="00B645DB">
        <w:rPr>
          <w:color w:val="D9D9D9" w:themeColor="background1" w:themeShade="D9"/>
        </w:rPr>
        <w:t xml:space="preserve">by making </w:t>
      </w:r>
      <w:r w:rsidRPr="00B645DB">
        <w:rPr>
          <w:i/>
          <w:color w:val="D9D9D9" w:themeColor="background1" w:themeShade="D9"/>
        </w:rPr>
        <w:t>k</w:t>
      </w:r>
      <w:r w:rsidRPr="00B645DB">
        <w:rPr>
          <w:color w:val="D9D9D9" w:themeColor="background1" w:themeShade="D9"/>
          <w:vertAlign w:val="subscript"/>
        </w:rPr>
        <w:t>c1</w:t>
      </w:r>
      <w:r w:rsidR="00156D77" w:rsidRPr="00B645DB">
        <w:rPr>
          <w:color w:val="D9D9D9" w:themeColor="background1" w:themeShade="D9"/>
        </w:rPr>
        <w:t xml:space="preserve"> step</w:t>
      </w:r>
      <w:r w:rsidRPr="00B645DB">
        <w:rPr>
          <w:color w:val="D9D9D9" w:themeColor="background1" w:themeShade="D9"/>
        </w:rPr>
        <w:t xml:space="preserve"> from 0 to a constant value </w:t>
      </w:r>
      <w:r w:rsidR="005A4BAE" w:rsidRPr="00B645DB">
        <w:rPr>
          <w:color w:val="D9D9D9" w:themeColor="background1" w:themeShade="D9"/>
        </w:rPr>
        <w:t xml:space="preserve">at </w:t>
      </w:r>
      <w:r w:rsidR="005A4BAE" w:rsidRPr="00B645DB">
        <w:rPr>
          <w:i/>
          <w:color w:val="D9D9D9" w:themeColor="background1" w:themeShade="D9"/>
        </w:rPr>
        <w:t>t</w:t>
      </w:r>
      <w:r w:rsidR="00F21A62" w:rsidRPr="00B645DB">
        <w:rPr>
          <w:color w:val="D9D9D9" w:themeColor="background1" w:themeShade="D9"/>
        </w:rPr>
        <w:t xml:space="preserve"> </w:t>
      </w:r>
      <w:r w:rsidR="005A4BAE" w:rsidRPr="00B645DB">
        <w:rPr>
          <w:color w:val="D9D9D9" w:themeColor="background1" w:themeShade="D9"/>
        </w:rPr>
        <w:t>=</w:t>
      </w:r>
      <w:r w:rsidR="00F21A62" w:rsidRPr="00B645DB">
        <w:rPr>
          <w:color w:val="D9D9D9" w:themeColor="background1" w:themeShade="D9"/>
        </w:rPr>
        <w:t xml:space="preserve"> </w:t>
      </w:r>
      <w:r w:rsidR="005A4BAE" w:rsidRPr="00B645DB">
        <w:rPr>
          <w:color w:val="D9D9D9" w:themeColor="background1" w:themeShade="D9"/>
        </w:rPr>
        <w:t xml:space="preserve">2000s.   </w:t>
      </w:r>
    </w:p>
    <w:p w:rsidR="005A4BAE" w:rsidRPr="00B645DB" w:rsidRDefault="005A4BAE" w:rsidP="00AF58F6">
      <w:pPr>
        <w:rPr>
          <w:color w:val="D9D9D9" w:themeColor="background1" w:themeShade="D9"/>
        </w:rPr>
      </w:pPr>
      <w:r w:rsidRPr="00B645DB">
        <w:rPr>
          <w:color w:val="D9D9D9" w:themeColor="background1" w:themeShade="D9"/>
        </w:rPr>
        <w:t xml:space="preserve">The stationary phase is assumed to occur when the organisms are low on substrate and are living on energy reserves.  They lack sufficient resources to grow during this time.  The </w:t>
      </w:r>
      <w:r w:rsidRPr="00B645DB">
        <w:rPr>
          <w:color w:val="D9D9D9" w:themeColor="background1" w:themeShade="D9"/>
        </w:rPr>
        <w:lastRenderedPageBreak/>
        <w:t xml:space="preserve">mortality rate increases when the energy reserves dwindle.  This effect is included in the analysis by using a step function to increase </w:t>
      </w:r>
      <w:r w:rsidRPr="00B645DB">
        <w:rPr>
          <w:i/>
          <w:color w:val="D9D9D9" w:themeColor="background1" w:themeShade="D9"/>
        </w:rPr>
        <w:t>k</w:t>
      </w:r>
      <w:r w:rsidRPr="00B645DB">
        <w:rPr>
          <w:color w:val="D9D9D9" w:themeColor="background1" w:themeShade="D9"/>
          <w:vertAlign w:val="subscript"/>
        </w:rPr>
        <w:t>d</w:t>
      </w:r>
      <w:r w:rsidRPr="00B645DB">
        <w:rPr>
          <w:color w:val="D9D9D9" w:themeColor="background1" w:themeShade="D9"/>
        </w:rPr>
        <w:t xml:space="preserve"> at 20,000s in the analysis.  </w:t>
      </w:r>
    </w:p>
    <w:p w:rsidR="005A4BAE" w:rsidRPr="00B645DB" w:rsidRDefault="005A4BAE" w:rsidP="00AF58F6">
      <w:pPr>
        <w:rPr>
          <w:color w:val="D9D9D9" w:themeColor="background1" w:themeShade="D9"/>
        </w:rPr>
      </w:pPr>
      <w:r w:rsidRPr="00B645DB">
        <w:rPr>
          <w:color w:val="D9D9D9" w:themeColor="background1" w:themeShade="D9"/>
        </w:rPr>
        <w:t xml:space="preserve">Allowing </w:t>
      </w:r>
      <w:r w:rsidRPr="00B645DB">
        <w:rPr>
          <w:i/>
          <w:color w:val="D9D9D9" w:themeColor="background1" w:themeShade="D9"/>
        </w:rPr>
        <w:t>k</w:t>
      </w:r>
      <w:r w:rsidRPr="00B645DB">
        <w:rPr>
          <w:color w:val="D9D9D9" w:themeColor="background1" w:themeShade="D9"/>
          <w:vertAlign w:val="subscript"/>
        </w:rPr>
        <w:t>c1</w:t>
      </w:r>
      <w:r w:rsidRPr="00B645DB">
        <w:rPr>
          <w:color w:val="D9D9D9" w:themeColor="background1" w:themeShade="D9"/>
        </w:rPr>
        <w:t xml:space="preserve"> and </w:t>
      </w:r>
      <w:r w:rsidRPr="00B645DB">
        <w:rPr>
          <w:i/>
          <w:color w:val="D9D9D9" w:themeColor="background1" w:themeShade="D9"/>
        </w:rPr>
        <w:t>k</w:t>
      </w:r>
      <w:r w:rsidRPr="00B645DB">
        <w:rPr>
          <w:color w:val="D9D9D9" w:themeColor="background1" w:themeShade="D9"/>
          <w:vertAlign w:val="subscript"/>
        </w:rPr>
        <w:t>d</w:t>
      </w:r>
      <w:r w:rsidRPr="00B645DB">
        <w:rPr>
          <w:color w:val="D9D9D9" w:themeColor="background1" w:themeShade="D9"/>
        </w:rPr>
        <w:t xml:space="preserve"> to change with time gives a result that is remarkably similar to the result from the textbook.  All four stages are evident (Fig</w:t>
      </w:r>
      <w:r w:rsidR="00A82B1A" w:rsidRPr="00B645DB">
        <w:rPr>
          <w:color w:val="D9D9D9" w:themeColor="background1" w:themeShade="D9"/>
        </w:rPr>
        <w:t>. 6</w:t>
      </w:r>
      <w:r w:rsidRPr="00B645DB">
        <w:rPr>
          <w:color w:val="D9D9D9" w:themeColor="background1" w:themeShade="D9"/>
        </w:rPr>
        <w:t xml:space="preserve">).  </w:t>
      </w:r>
    </w:p>
    <w:tbl>
      <w:tblPr>
        <w:tblStyle w:val="TableGrid"/>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tblGrid>
      <w:tr w:rsidR="005A4BAE" w:rsidRPr="00B645DB" w:rsidTr="00CA448B">
        <w:tc>
          <w:tcPr>
            <w:tcW w:w="4968" w:type="dxa"/>
          </w:tcPr>
          <w:p w:rsidR="005A4BAE" w:rsidRPr="00B645DB" w:rsidRDefault="00CA448B" w:rsidP="00CA448B">
            <w:pPr>
              <w:ind w:firstLine="0"/>
              <w:rPr>
                <w:color w:val="D9D9D9" w:themeColor="background1" w:themeShade="D9"/>
              </w:rPr>
            </w:pPr>
            <w:r w:rsidRPr="00B645DB">
              <w:rPr>
                <w:noProof/>
                <w:color w:val="D9D9D9" w:themeColor="background1" w:themeShade="D9"/>
              </w:rPr>
              <mc:AlternateContent>
                <mc:Choice Requires="wps">
                  <w:drawing>
                    <wp:anchor distT="0" distB="0" distL="114300" distR="114300" simplePos="0" relativeHeight="251668480" behindDoc="0" locked="0" layoutInCell="1" allowOverlap="1" wp14:anchorId="7AC98C80" wp14:editId="211FFF64">
                      <wp:simplePos x="0" y="0"/>
                      <wp:positionH relativeFrom="column">
                        <wp:posOffset>666750</wp:posOffset>
                      </wp:positionH>
                      <wp:positionV relativeFrom="paragraph">
                        <wp:posOffset>2179320</wp:posOffset>
                      </wp:positionV>
                      <wp:extent cx="3038475" cy="371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38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7EA" w:rsidRDefault="00E567EA" w:rsidP="00CA448B">
                                  <w:pPr>
                                    <w:ind w:firstLine="0"/>
                                  </w:pPr>
                                  <w:r>
                                    <w:t>Lag | Log    |   Stationary  |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2.5pt;margin-top:171.6pt;width:239.25pt;height:2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" filled="f" stroked="f" strokeweight=".5pt">
                      <v:textbox>
                        <w:txbxContent>
                          <w:p w:rsidR="00E567EA" w:rsidRDefault="00E567EA" w:rsidP="00CA448B">
                            <w:pPr>
                              <w:ind w:firstLine="0"/>
                            </w:pPr>
                            <w:r>
                              <w:t>Lag | Log    |   Stationary  |       Death</w:t>
                            </w:r>
                          </w:p>
                        </w:txbxContent>
                      </v:textbox>
                    </v:shape>
                  </w:pict>
                </mc:Fallback>
              </mc:AlternateContent>
            </w:r>
            <w:r w:rsidR="005A4BAE" w:rsidRPr="00B645DB">
              <w:rPr>
                <w:noProof/>
                <w:color w:val="D9D9D9" w:themeColor="background1" w:themeShade="D9"/>
              </w:rPr>
              <w:drawing>
                <wp:inline distT="0" distB="0" distL="0" distR="0" wp14:anchorId="63956097" wp14:editId="74A762B5">
                  <wp:extent cx="3762375" cy="2821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6"/>
                          <a:stretch>
                            <a:fillRect/>
                          </a:stretch>
                        </pic:blipFill>
                        <pic:spPr>
                          <a:xfrm>
                            <a:off x="0" y="0"/>
                            <a:ext cx="3766360" cy="2824770"/>
                          </a:xfrm>
                          <a:prstGeom prst="rect">
                            <a:avLst/>
                          </a:prstGeom>
                        </pic:spPr>
                      </pic:pic>
                    </a:graphicData>
                  </a:graphic>
                </wp:inline>
              </w:drawing>
            </w:r>
          </w:p>
        </w:tc>
      </w:tr>
      <w:tr w:rsidR="005A4BAE" w:rsidRPr="00B645DB" w:rsidTr="00CA448B">
        <w:tc>
          <w:tcPr>
            <w:tcW w:w="4968" w:type="dxa"/>
          </w:tcPr>
          <w:p w:rsidR="005A4BAE" w:rsidRPr="00B645DB" w:rsidRDefault="00A82B1A" w:rsidP="00CA448B">
            <w:pPr>
              <w:ind w:firstLine="0"/>
              <w:rPr>
                <w:color w:val="D9D9D9" w:themeColor="background1" w:themeShade="D9"/>
              </w:rPr>
            </w:pPr>
            <w:r w:rsidRPr="00B645DB">
              <w:rPr>
                <w:color w:val="D9D9D9" w:themeColor="background1" w:themeShade="D9"/>
              </w:rPr>
              <w:t xml:space="preserve">Figure 6.  </w:t>
            </w:r>
            <w:r w:rsidR="005A4BAE" w:rsidRPr="00B645DB">
              <w:rPr>
                <w:color w:val="D9D9D9" w:themeColor="background1" w:themeShade="D9"/>
              </w:rPr>
              <w:t xml:space="preserve">Concentration of biomass (blue) and substrate (black) calculated using (43).  Biomass growth includes lag, log, stationary and death phases.  </w:t>
            </w:r>
          </w:p>
        </w:tc>
      </w:tr>
    </w:tbl>
    <w:p w:rsidR="00772819" w:rsidRPr="00B645DB" w:rsidRDefault="00772819" w:rsidP="00AF58F6">
      <w:pPr>
        <w:rPr>
          <w:color w:val="D9D9D9" w:themeColor="background1" w:themeShade="D9"/>
        </w:rPr>
      </w:pPr>
    </w:p>
    <w:p w:rsidR="00772819" w:rsidRPr="00B645DB" w:rsidRDefault="00772819" w:rsidP="00AF58F6">
      <w:pPr>
        <w:rPr>
          <w:color w:val="D9D9D9" w:themeColor="background1" w:themeShade="D9"/>
        </w:rPr>
      </w:pPr>
    </w:p>
    <w:p w:rsidR="00772819" w:rsidRPr="00B645DB" w:rsidRDefault="00772819" w:rsidP="00AF58F6">
      <w:pPr>
        <w:rPr>
          <w:color w:val="D9D9D9" w:themeColor="background1" w:themeShade="D9"/>
        </w:rPr>
      </w:pPr>
    </w:p>
    <w:p w:rsidR="00772819" w:rsidRPr="00B645DB" w:rsidRDefault="00772819" w:rsidP="00AF58F6">
      <w:pPr>
        <w:rPr>
          <w:color w:val="D9D9D9" w:themeColor="background1" w:themeShade="D9"/>
        </w:rPr>
      </w:pPr>
    </w:p>
    <w:p w:rsidR="00BF22BB" w:rsidRPr="00B645DB" w:rsidRDefault="00BF22BB" w:rsidP="00AF58F6">
      <w:pPr>
        <w:rPr>
          <w:color w:val="D9D9D9" w:themeColor="background1" w:themeShade="D9"/>
        </w:rPr>
      </w:pPr>
    </w:p>
    <w:p w:rsidR="00DC3E64" w:rsidRPr="00AF58F6" w:rsidRDefault="00DC3E64" w:rsidP="00AF58F6"/>
    <w:sectPr w:rsidR="00DC3E64" w:rsidRPr="00AF58F6">
      <w:headerReference w:type="even" r:id="rId147"/>
      <w:headerReference w:type="default" r:id="rId148"/>
      <w:footerReference w:type="even" r:id="rId149"/>
      <w:footerReference w:type="default" r:id="rId150"/>
      <w:headerReference w:type="first" r:id="rId151"/>
      <w:footerReference w:type="first" r:id="rId152"/>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6D" w:rsidRDefault="00FD166D">
      <w:r>
        <w:separator/>
      </w:r>
    </w:p>
  </w:endnote>
  <w:endnote w:type="continuationSeparator" w:id="0">
    <w:p w:rsidR="00FD166D" w:rsidRDefault="00FD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STIXThirteen">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E" w:rsidRDefault="00AC5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E" w:rsidRDefault="00AC5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E" w:rsidRDefault="00AC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6D" w:rsidRDefault="00FD166D">
      <w:r>
        <w:separator/>
      </w:r>
    </w:p>
  </w:footnote>
  <w:footnote w:type="continuationSeparator" w:id="0">
    <w:p w:rsidR="00FD166D" w:rsidRDefault="00FD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E" w:rsidRDefault="00AC5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EA" w:rsidRDefault="00E567EA">
    <w:pPr>
      <w:pStyle w:val="Header"/>
      <w:spacing w:before="0"/>
      <w:ind w:firstLine="0"/>
      <w:jc w:val="right"/>
      <w:rPr>
        <w:sz w:val="20"/>
      </w:rPr>
    </w:pPr>
  </w:p>
  <w:p w:rsidR="00E567EA" w:rsidRPr="00CA448B" w:rsidRDefault="00AC505E" w:rsidP="00CA448B">
    <w:pPr>
      <w:pStyle w:val="Header"/>
      <w:spacing w:before="0"/>
      <w:ind w:firstLine="0"/>
      <w:jc w:val="right"/>
      <w:rPr>
        <w:color w:val="808080" w:themeColor="background1" w:themeShade="80"/>
        <w:sz w:val="20"/>
      </w:rPr>
    </w:pPr>
    <w:r>
      <w:rPr>
        <w:color w:val="808080" w:themeColor="background1" w:themeShade="80"/>
        <w:sz w:val="20"/>
      </w:rPr>
      <w:t>Reaction Kinetics April</w:t>
    </w:r>
    <w:bookmarkStart w:id="0" w:name="_GoBack"/>
    <w:bookmarkEnd w:id="0"/>
    <w:r w:rsidR="00E567EA">
      <w:rPr>
        <w:color w:val="808080" w:themeColor="background1" w:themeShade="80"/>
        <w:sz w:val="20"/>
      </w:rPr>
      <w:t xml:space="preserve"> 2015</w:t>
    </w:r>
    <w:r w:rsidR="00E567EA" w:rsidRPr="00CA448B">
      <w:rPr>
        <w:color w:val="808080" w:themeColor="background1" w:themeShade="80"/>
        <w:sz w:val="20"/>
      </w:rPr>
      <w:t xml:space="preserve"> </w:t>
    </w:r>
  </w:p>
  <w:p w:rsidR="00E567EA" w:rsidRDefault="00E567EA">
    <w:pPr>
      <w:pStyle w:val="Header"/>
      <w:spacing w:before="0"/>
      <w:ind w:firstLine="0"/>
      <w:jc w:val="right"/>
      <w:rPr>
        <w:sz w:val="20"/>
      </w:rPr>
    </w:pPr>
    <w:r w:rsidRPr="00C30DF7">
      <w:rPr>
        <w:color w:val="808080" w:themeColor="background1" w:themeShade="80"/>
        <w:spacing w:val="60"/>
        <w:sz w:val="20"/>
      </w:rPr>
      <w:t>Page</w:t>
    </w:r>
    <w:r w:rsidRPr="00C30DF7">
      <w:rPr>
        <w:sz w:val="20"/>
      </w:rPr>
      <w:t xml:space="preserve"> | </w:t>
    </w:r>
    <w:r w:rsidRPr="00C30DF7">
      <w:rPr>
        <w:sz w:val="20"/>
      </w:rPr>
      <w:fldChar w:fldCharType="begin"/>
    </w:r>
    <w:r w:rsidRPr="00C30DF7">
      <w:rPr>
        <w:sz w:val="20"/>
      </w:rPr>
      <w:instrText xml:space="preserve"> PAGE   \* MERGEFORMAT </w:instrText>
    </w:r>
    <w:r w:rsidRPr="00C30DF7">
      <w:rPr>
        <w:sz w:val="20"/>
      </w:rPr>
      <w:fldChar w:fldCharType="separate"/>
    </w:r>
    <w:r w:rsidR="00AC505E" w:rsidRPr="00AC505E">
      <w:rPr>
        <w:b/>
        <w:bCs/>
        <w:noProof/>
        <w:sz w:val="20"/>
      </w:rPr>
      <w:t>13</w:t>
    </w:r>
    <w:r w:rsidRPr="00C30DF7">
      <w:rPr>
        <w:b/>
        <w:bCs/>
        <w:noProof/>
        <w:sz w:val="20"/>
      </w:rPr>
      <w:fldChar w:fldCharType="end"/>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E" w:rsidRDefault="00AC5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7633"/>
    <w:multiLevelType w:val="hybridMultilevel"/>
    <w:tmpl w:val="D55EE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B68A0"/>
    <w:multiLevelType w:val="hybridMultilevel"/>
    <w:tmpl w:val="0A14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64EEF"/>
    <w:multiLevelType w:val="hybridMultilevel"/>
    <w:tmpl w:val="642E9A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7B2"/>
    <w:multiLevelType w:val="hybridMultilevel"/>
    <w:tmpl w:val="8480A3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D2E1D"/>
    <w:multiLevelType w:val="multilevel"/>
    <w:tmpl w:val="FE164A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3E0FA3"/>
    <w:multiLevelType w:val="hybridMultilevel"/>
    <w:tmpl w:val="EE6E71E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707C6"/>
    <w:multiLevelType w:val="hybridMultilevel"/>
    <w:tmpl w:val="B518D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B8122E"/>
    <w:multiLevelType w:val="singleLevel"/>
    <w:tmpl w:val="4ED832A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2988743A"/>
    <w:multiLevelType w:val="hybridMultilevel"/>
    <w:tmpl w:val="6C86C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763143"/>
    <w:multiLevelType w:val="multilevel"/>
    <w:tmpl w:val="31DA09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AB68A0"/>
    <w:multiLevelType w:val="singleLevel"/>
    <w:tmpl w:val="0409000F"/>
    <w:lvl w:ilvl="0">
      <w:start w:val="3"/>
      <w:numFmt w:val="decimal"/>
      <w:lvlText w:val="%1."/>
      <w:lvlJc w:val="left"/>
      <w:pPr>
        <w:tabs>
          <w:tab w:val="num" w:pos="360"/>
        </w:tabs>
        <w:ind w:left="360" w:hanging="360"/>
      </w:pPr>
      <w:rPr>
        <w:rFonts w:hint="default"/>
      </w:rPr>
    </w:lvl>
  </w:abstractNum>
  <w:abstractNum w:abstractNumId="12">
    <w:nsid w:val="711752ED"/>
    <w:multiLevelType w:val="hybridMultilevel"/>
    <w:tmpl w:val="3384A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8"/>
  </w:num>
  <w:num w:numId="5">
    <w:abstractNumId w:val="2"/>
  </w:num>
  <w:num w:numId="6">
    <w:abstractNumId w:val="10"/>
  </w:num>
  <w:num w:numId="7">
    <w:abstractNumId w:val="1"/>
  </w:num>
  <w:num w:numId="8">
    <w:abstractNumId w:val="12"/>
  </w:num>
  <w:num w:numId="9">
    <w:abstractNumId w:val="9"/>
  </w:num>
  <w:num w:numId="10">
    <w:abstractNumId w:val="7"/>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5"/>
    <w:rsid w:val="000014E7"/>
    <w:rsid w:val="00005EF8"/>
    <w:rsid w:val="000109D6"/>
    <w:rsid w:val="0001542B"/>
    <w:rsid w:val="00016A2C"/>
    <w:rsid w:val="00025284"/>
    <w:rsid w:val="00027654"/>
    <w:rsid w:val="000333E5"/>
    <w:rsid w:val="00035745"/>
    <w:rsid w:val="000408BA"/>
    <w:rsid w:val="00046AB4"/>
    <w:rsid w:val="00051B19"/>
    <w:rsid w:val="00065898"/>
    <w:rsid w:val="00074562"/>
    <w:rsid w:val="00076A33"/>
    <w:rsid w:val="000803C8"/>
    <w:rsid w:val="00092CCA"/>
    <w:rsid w:val="000A24D3"/>
    <w:rsid w:val="000A29F6"/>
    <w:rsid w:val="000A509D"/>
    <w:rsid w:val="000B0326"/>
    <w:rsid w:val="000B2CC7"/>
    <w:rsid w:val="000B2ECB"/>
    <w:rsid w:val="000C703A"/>
    <w:rsid w:val="000D2F5B"/>
    <w:rsid w:val="000D3834"/>
    <w:rsid w:val="000D76FE"/>
    <w:rsid w:val="000E01F3"/>
    <w:rsid w:val="000E1F1D"/>
    <w:rsid w:val="000E24B7"/>
    <w:rsid w:val="000E5E68"/>
    <w:rsid w:val="000F1247"/>
    <w:rsid w:val="00103E32"/>
    <w:rsid w:val="001118B1"/>
    <w:rsid w:val="00111BB4"/>
    <w:rsid w:val="00112E46"/>
    <w:rsid w:val="001303CE"/>
    <w:rsid w:val="0014550A"/>
    <w:rsid w:val="00156D77"/>
    <w:rsid w:val="001616FD"/>
    <w:rsid w:val="00166086"/>
    <w:rsid w:val="0016717B"/>
    <w:rsid w:val="00172ADC"/>
    <w:rsid w:val="00174FFC"/>
    <w:rsid w:val="0019457B"/>
    <w:rsid w:val="00197065"/>
    <w:rsid w:val="00197182"/>
    <w:rsid w:val="001D4D23"/>
    <w:rsid w:val="001D7F56"/>
    <w:rsid w:val="002012B9"/>
    <w:rsid w:val="002050D6"/>
    <w:rsid w:val="002059C4"/>
    <w:rsid w:val="002073C3"/>
    <w:rsid w:val="00215A7C"/>
    <w:rsid w:val="00216733"/>
    <w:rsid w:val="002301A6"/>
    <w:rsid w:val="00230DB5"/>
    <w:rsid w:val="002406D5"/>
    <w:rsid w:val="00247774"/>
    <w:rsid w:val="00255C36"/>
    <w:rsid w:val="00264F85"/>
    <w:rsid w:val="0027262E"/>
    <w:rsid w:val="00287ECF"/>
    <w:rsid w:val="002A09C6"/>
    <w:rsid w:val="002B54E6"/>
    <w:rsid w:val="002B61D6"/>
    <w:rsid w:val="002F4CFB"/>
    <w:rsid w:val="002F6F16"/>
    <w:rsid w:val="002F70C5"/>
    <w:rsid w:val="003031E4"/>
    <w:rsid w:val="0030718C"/>
    <w:rsid w:val="003100BA"/>
    <w:rsid w:val="003302FC"/>
    <w:rsid w:val="003340C5"/>
    <w:rsid w:val="003416D0"/>
    <w:rsid w:val="00347BB1"/>
    <w:rsid w:val="003677B6"/>
    <w:rsid w:val="00381BB4"/>
    <w:rsid w:val="00385234"/>
    <w:rsid w:val="00387BF7"/>
    <w:rsid w:val="00392DC9"/>
    <w:rsid w:val="003930F7"/>
    <w:rsid w:val="003A2F86"/>
    <w:rsid w:val="003A6771"/>
    <w:rsid w:val="003A7B71"/>
    <w:rsid w:val="003B3AF4"/>
    <w:rsid w:val="003B41B2"/>
    <w:rsid w:val="003B6033"/>
    <w:rsid w:val="003D2462"/>
    <w:rsid w:val="003D2AD8"/>
    <w:rsid w:val="003F5C7E"/>
    <w:rsid w:val="004062F3"/>
    <w:rsid w:val="00407EA8"/>
    <w:rsid w:val="00420849"/>
    <w:rsid w:val="00427A1E"/>
    <w:rsid w:val="0044374F"/>
    <w:rsid w:val="004529D2"/>
    <w:rsid w:val="00453A16"/>
    <w:rsid w:val="00462F8F"/>
    <w:rsid w:val="00463255"/>
    <w:rsid w:val="004746C7"/>
    <w:rsid w:val="004862F4"/>
    <w:rsid w:val="00490F4A"/>
    <w:rsid w:val="00492B00"/>
    <w:rsid w:val="0049719B"/>
    <w:rsid w:val="004B2E19"/>
    <w:rsid w:val="004B67F3"/>
    <w:rsid w:val="004C1CDA"/>
    <w:rsid w:val="004C6B23"/>
    <w:rsid w:val="004E0DE7"/>
    <w:rsid w:val="004F2A7C"/>
    <w:rsid w:val="004F3A1A"/>
    <w:rsid w:val="00510FD5"/>
    <w:rsid w:val="00512FB5"/>
    <w:rsid w:val="00513329"/>
    <w:rsid w:val="005134CF"/>
    <w:rsid w:val="00524637"/>
    <w:rsid w:val="005271CF"/>
    <w:rsid w:val="005305FE"/>
    <w:rsid w:val="00552E0A"/>
    <w:rsid w:val="00554184"/>
    <w:rsid w:val="005615FD"/>
    <w:rsid w:val="00564BAF"/>
    <w:rsid w:val="005717BE"/>
    <w:rsid w:val="005A4BAE"/>
    <w:rsid w:val="005A706C"/>
    <w:rsid w:val="005B5C64"/>
    <w:rsid w:val="005D018A"/>
    <w:rsid w:val="005E126F"/>
    <w:rsid w:val="005F0580"/>
    <w:rsid w:val="00603218"/>
    <w:rsid w:val="006035FD"/>
    <w:rsid w:val="00605FFF"/>
    <w:rsid w:val="00613731"/>
    <w:rsid w:val="006200C4"/>
    <w:rsid w:val="006200D1"/>
    <w:rsid w:val="00630047"/>
    <w:rsid w:val="00632D04"/>
    <w:rsid w:val="00656BC6"/>
    <w:rsid w:val="00661EED"/>
    <w:rsid w:val="006654E6"/>
    <w:rsid w:val="00671767"/>
    <w:rsid w:val="00676968"/>
    <w:rsid w:val="00684639"/>
    <w:rsid w:val="006901DC"/>
    <w:rsid w:val="006A430E"/>
    <w:rsid w:val="006A69E4"/>
    <w:rsid w:val="006C1F47"/>
    <w:rsid w:val="006D7ADD"/>
    <w:rsid w:val="006E01BE"/>
    <w:rsid w:val="006E0A33"/>
    <w:rsid w:val="006F04F3"/>
    <w:rsid w:val="006F0538"/>
    <w:rsid w:val="0071180B"/>
    <w:rsid w:val="00720093"/>
    <w:rsid w:val="0074065F"/>
    <w:rsid w:val="00744D49"/>
    <w:rsid w:val="007537A2"/>
    <w:rsid w:val="007540B4"/>
    <w:rsid w:val="00760B4F"/>
    <w:rsid w:val="00762773"/>
    <w:rsid w:val="007679D7"/>
    <w:rsid w:val="00772819"/>
    <w:rsid w:val="007850F0"/>
    <w:rsid w:val="007911B1"/>
    <w:rsid w:val="007917A5"/>
    <w:rsid w:val="007A1E04"/>
    <w:rsid w:val="007B1C86"/>
    <w:rsid w:val="007B2B26"/>
    <w:rsid w:val="008012E3"/>
    <w:rsid w:val="008025CD"/>
    <w:rsid w:val="00804A60"/>
    <w:rsid w:val="00810A10"/>
    <w:rsid w:val="008120AA"/>
    <w:rsid w:val="00813D19"/>
    <w:rsid w:val="00822277"/>
    <w:rsid w:val="00822FB8"/>
    <w:rsid w:val="0082376C"/>
    <w:rsid w:val="0083439D"/>
    <w:rsid w:val="0083602C"/>
    <w:rsid w:val="00862460"/>
    <w:rsid w:val="0086759A"/>
    <w:rsid w:val="008819CD"/>
    <w:rsid w:val="008833A5"/>
    <w:rsid w:val="00884D86"/>
    <w:rsid w:val="008902F0"/>
    <w:rsid w:val="00894DD4"/>
    <w:rsid w:val="008A040F"/>
    <w:rsid w:val="008A321D"/>
    <w:rsid w:val="008C48D5"/>
    <w:rsid w:val="008E0526"/>
    <w:rsid w:val="00922A52"/>
    <w:rsid w:val="009442C6"/>
    <w:rsid w:val="00956BB8"/>
    <w:rsid w:val="0095739D"/>
    <w:rsid w:val="00963F44"/>
    <w:rsid w:val="00973A5E"/>
    <w:rsid w:val="009773A1"/>
    <w:rsid w:val="00982F6B"/>
    <w:rsid w:val="009A60AB"/>
    <w:rsid w:val="009B041E"/>
    <w:rsid w:val="009B065B"/>
    <w:rsid w:val="009B3F8B"/>
    <w:rsid w:val="009B7FD7"/>
    <w:rsid w:val="009C0E54"/>
    <w:rsid w:val="009C6F38"/>
    <w:rsid w:val="009E49AC"/>
    <w:rsid w:val="00A04D9E"/>
    <w:rsid w:val="00A30EC5"/>
    <w:rsid w:val="00A34E60"/>
    <w:rsid w:val="00A508BC"/>
    <w:rsid w:val="00A652F7"/>
    <w:rsid w:val="00A715E8"/>
    <w:rsid w:val="00A738A0"/>
    <w:rsid w:val="00A73C27"/>
    <w:rsid w:val="00A81C17"/>
    <w:rsid w:val="00A82B1A"/>
    <w:rsid w:val="00A84311"/>
    <w:rsid w:val="00A91278"/>
    <w:rsid w:val="00AA52A3"/>
    <w:rsid w:val="00AA572A"/>
    <w:rsid w:val="00AA673D"/>
    <w:rsid w:val="00AB4AE3"/>
    <w:rsid w:val="00AC123F"/>
    <w:rsid w:val="00AC505E"/>
    <w:rsid w:val="00AC573B"/>
    <w:rsid w:val="00AD224C"/>
    <w:rsid w:val="00AF452F"/>
    <w:rsid w:val="00AF58F6"/>
    <w:rsid w:val="00B04328"/>
    <w:rsid w:val="00B07EFB"/>
    <w:rsid w:val="00B220AC"/>
    <w:rsid w:val="00B260EC"/>
    <w:rsid w:val="00B338B5"/>
    <w:rsid w:val="00B367DA"/>
    <w:rsid w:val="00B56564"/>
    <w:rsid w:val="00B64157"/>
    <w:rsid w:val="00B645DB"/>
    <w:rsid w:val="00B659B4"/>
    <w:rsid w:val="00B71E3A"/>
    <w:rsid w:val="00B72C79"/>
    <w:rsid w:val="00B80031"/>
    <w:rsid w:val="00B93C47"/>
    <w:rsid w:val="00BA0128"/>
    <w:rsid w:val="00BA0B5D"/>
    <w:rsid w:val="00BB0203"/>
    <w:rsid w:val="00BB7A9F"/>
    <w:rsid w:val="00BD2416"/>
    <w:rsid w:val="00BD6645"/>
    <w:rsid w:val="00BE3F16"/>
    <w:rsid w:val="00BF22BB"/>
    <w:rsid w:val="00BF5568"/>
    <w:rsid w:val="00C079F8"/>
    <w:rsid w:val="00C07B16"/>
    <w:rsid w:val="00C102FC"/>
    <w:rsid w:val="00C15F5D"/>
    <w:rsid w:val="00C20927"/>
    <w:rsid w:val="00C30DF7"/>
    <w:rsid w:val="00C44A8B"/>
    <w:rsid w:val="00C510E3"/>
    <w:rsid w:val="00C5195D"/>
    <w:rsid w:val="00C645E1"/>
    <w:rsid w:val="00C70F66"/>
    <w:rsid w:val="00C9423E"/>
    <w:rsid w:val="00C97B8C"/>
    <w:rsid w:val="00CA448B"/>
    <w:rsid w:val="00CB17B1"/>
    <w:rsid w:val="00CC164F"/>
    <w:rsid w:val="00CE6FBB"/>
    <w:rsid w:val="00CF5F9D"/>
    <w:rsid w:val="00D107A7"/>
    <w:rsid w:val="00D1647B"/>
    <w:rsid w:val="00D31121"/>
    <w:rsid w:val="00D44EB9"/>
    <w:rsid w:val="00D45938"/>
    <w:rsid w:val="00D45FC8"/>
    <w:rsid w:val="00D47386"/>
    <w:rsid w:val="00D6738D"/>
    <w:rsid w:val="00D7689C"/>
    <w:rsid w:val="00D85A80"/>
    <w:rsid w:val="00D9518F"/>
    <w:rsid w:val="00DA0888"/>
    <w:rsid w:val="00DC3E64"/>
    <w:rsid w:val="00DE1395"/>
    <w:rsid w:val="00DE3131"/>
    <w:rsid w:val="00DE60EE"/>
    <w:rsid w:val="00DE796A"/>
    <w:rsid w:val="00DF36B5"/>
    <w:rsid w:val="00DF49CA"/>
    <w:rsid w:val="00DF583D"/>
    <w:rsid w:val="00E1211A"/>
    <w:rsid w:val="00E303E3"/>
    <w:rsid w:val="00E36E6F"/>
    <w:rsid w:val="00E567EA"/>
    <w:rsid w:val="00E77AF3"/>
    <w:rsid w:val="00E82481"/>
    <w:rsid w:val="00E9408B"/>
    <w:rsid w:val="00E97172"/>
    <w:rsid w:val="00EA1779"/>
    <w:rsid w:val="00EA48D4"/>
    <w:rsid w:val="00EA5DF0"/>
    <w:rsid w:val="00EA6D2B"/>
    <w:rsid w:val="00EB182B"/>
    <w:rsid w:val="00EB2603"/>
    <w:rsid w:val="00ED2242"/>
    <w:rsid w:val="00ED4B1E"/>
    <w:rsid w:val="00ED6DAD"/>
    <w:rsid w:val="00EF398A"/>
    <w:rsid w:val="00F04BB5"/>
    <w:rsid w:val="00F0546E"/>
    <w:rsid w:val="00F108E3"/>
    <w:rsid w:val="00F11DD5"/>
    <w:rsid w:val="00F14E33"/>
    <w:rsid w:val="00F21A62"/>
    <w:rsid w:val="00F23357"/>
    <w:rsid w:val="00F26093"/>
    <w:rsid w:val="00F367D8"/>
    <w:rsid w:val="00F52D35"/>
    <w:rsid w:val="00F57856"/>
    <w:rsid w:val="00F6229E"/>
    <w:rsid w:val="00F81EC5"/>
    <w:rsid w:val="00F84065"/>
    <w:rsid w:val="00FA0840"/>
    <w:rsid w:val="00FB1B5D"/>
    <w:rsid w:val="00FC0A1C"/>
    <w:rsid w:val="00FC28C0"/>
    <w:rsid w:val="00FD166D"/>
    <w:rsid w:val="00FE5CF4"/>
    <w:rsid w:val="00FF1E2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NormalWeb">
    <w:name w:val="Normal (Web)"/>
    <w:basedOn w:val="Normal"/>
    <w:uiPriority w:val="99"/>
    <w:unhideWhenUsed/>
    <w:rsid w:val="009B041E"/>
    <w:pPr>
      <w:spacing w:before="100" w:beforeAutospacing="1" w:after="100" w:afterAutospacing="1"/>
      <w:ind w:firstLine="0"/>
    </w:pPr>
    <w:rPr>
      <w:szCs w:val="24"/>
    </w:rPr>
  </w:style>
  <w:style w:type="table" w:styleId="TableGrid">
    <w:name w:val="Table Grid"/>
    <w:basedOn w:val="TableNormal"/>
    <w:rsid w:val="0063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2D04"/>
    <w:pPr>
      <w:spacing w:before="0"/>
    </w:pPr>
    <w:rPr>
      <w:rFonts w:ascii="Tahoma" w:hAnsi="Tahoma" w:cs="Tahoma"/>
      <w:sz w:val="16"/>
      <w:szCs w:val="16"/>
    </w:rPr>
  </w:style>
  <w:style w:type="character" w:customStyle="1" w:styleId="BalloonTextChar">
    <w:name w:val="Balloon Text Char"/>
    <w:basedOn w:val="DefaultParagraphFont"/>
    <w:link w:val="BalloonText"/>
    <w:rsid w:val="00632D04"/>
    <w:rPr>
      <w:rFonts w:ascii="Tahoma" w:hAnsi="Tahoma" w:cs="Tahoma"/>
      <w:sz w:val="16"/>
      <w:szCs w:val="16"/>
    </w:rPr>
  </w:style>
  <w:style w:type="character" w:customStyle="1" w:styleId="apple-converted-space">
    <w:name w:val="apple-converted-space"/>
    <w:basedOn w:val="DefaultParagraphFont"/>
    <w:rsid w:val="00632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NormalWeb">
    <w:name w:val="Normal (Web)"/>
    <w:basedOn w:val="Normal"/>
    <w:uiPriority w:val="99"/>
    <w:unhideWhenUsed/>
    <w:rsid w:val="009B041E"/>
    <w:pPr>
      <w:spacing w:before="100" w:beforeAutospacing="1" w:after="100" w:afterAutospacing="1"/>
      <w:ind w:firstLine="0"/>
    </w:pPr>
    <w:rPr>
      <w:szCs w:val="24"/>
    </w:rPr>
  </w:style>
  <w:style w:type="table" w:styleId="TableGrid">
    <w:name w:val="Table Grid"/>
    <w:basedOn w:val="TableNormal"/>
    <w:rsid w:val="0063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2D04"/>
    <w:pPr>
      <w:spacing w:before="0"/>
    </w:pPr>
    <w:rPr>
      <w:rFonts w:ascii="Tahoma" w:hAnsi="Tahoma" w:cs="Tahoma"/>
      <w:sz w:val="16"/>
      <w:szCs w:val="16"/>
    </w:rPr>
  </w:style>
  <w:style w:type="character" w:customStyle="1" w:styleId="BalloonTextChar">
    <w:name w:val="Balloon Text Char"/>
    <w:basedOn w:val="DefaultParagraphFont"/>
    <w:link w:val="BalloonText"/>
    <w:rsid w:val="00632D04"/>
    <w:rPr>
      <w:rFonts w:ascii="Tahoma" w:hAnsi="Tahoma" w:cs="Tahoma"/>
      <w:sz w:val="16"/>
      <w:szCs w:val="16"/>
    </w:rPr>
  </w:style>
  <w:style w:type="character" w:customStyle="1" w:styleId="apple-converted-space">
    <w:name w:val="apple-converted-space"/>
    <w:basedOn w:val="DefaultParagraphFont"/>
    <w:rsid w:val="0063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61669">
      <w:bodyDiv w:val="1"/>
      <w:marLeft w:val="0"/>
      <w:marRight w:val="0"/>
      <w:marTop w:val="0"/>
      <w:marBottom w:val="0"/>
      <w:divBdr>
        <w:top w:val="none" w:sz="0" w:space="0" w:color="auto"/>
        <w:left w:val="none" w:sz="0" w:space="0" w:color="auto"/>
        <w:bottom w:val="none" w:sz="0" w:space="0" w:color="auto"/>
        <w:right w:val="none" w:sz="0" w:space="0" w:color="auto"/>
      </w:divBdr>
    </w:div>
    <w:div w:id="1324775017">
      <w:bodyDiv w:val="1"/>
      <w:marLeft w:val="0"/>
      <w:marRight w:val="0"/>
      <w:marTop w:val="0"/>
      <w:marBottom w:val="0"/>
      <w:divBdr>
        <w:top w:val="none" w:sz="0" w:space="0" w:color="auto"/>
        <w:left w:val="none" w:sz="0" w:space="0" w:color="auto"/>
        <w:bottom w:val="none" w:sz="0" w:space="0" w:color="auto"/>
        <w:right w:val="none" w:sz="0" w:space="0" w:color="auto"/>
      </w:divBdr>
    </w:div>
    <w:div w:id="1430855311">
      <w:bodyDiv w:val="1"/>
      <w:marLeft w:val="0"/>
      <w:marRight w:val="0"/>
      <w:marTop w:val="0"/>
      <w:marBottom w:val="0"/>
      <w:divBdr>
        <w:top w:val="none" w:sz="0" w:space="0" w:color="auto"/>
        <w:left w:val="none" w:sz="0" w:space="0" w:color="auto"/>
        <w:bottom w:val="none" w:sz="0" w:space="0" w:color="auto"/>
        <w:right w:val="none" w:sz="0" w:space="0" w:color="auto"/>
      </w:divBdr>
    </w:div>
    <w:div w:id="20647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64.wmf"/><Relationship Id="rId138" Type="http://schemas.openxmlformats.org/officeDocument/2006/relationships/image" Target="media/image66.wmf"/><Relationship Id="rId154"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png"/><Relationship Id="rId123" Type="http://schemas.openxmlformats.org/officeDocument/2006/relationships/image" Target="media/image59.wmf"/><Relationship Id="rId128" Type="http://schemas.openxmlformats.org/officeDocument/2006/relationships/oleObject" Target="embeddings/oleObject59.bin"/><Relationship Id="rId144" Type="http://schemas.openxmlformats.org/officeDocument/2006/relationships/hyperlink" Target="http://www2.raritanval.edu/departments/Science/full-time/Weber/Microbiology%20Majors/Chapter6sub/Chapter6sub_print.html"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oleObject" Target="embeddings/oleObject43.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png"/><Relationship Id="rId113" Type="http://schemas.openxmlformats.org/officeDocument/2006/relationships/image" Target="media/image54.wmf"/><Relationship Id="rId118" Type="http://schemas.openxmlformats.org/officeDocument/2006/relationships/image" Target="media/image57.wmf"/><Relationship Id="rId134" Type="http://schemas.openxmlformats.org/officeDocument/2006/relationships/oleObject" Target="embeddings/oleObject62.bin"/><Relationship Id="rId139" Type="http://schemas.openxmlformats.org/officeDocument/2006/relationships/oleObject" Target="embeddings/oleObject65.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footer" Target="footer2.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9.wmf"/><Relationship Id="rId108" Type="http://schemas.openxmlformats.org/officeDocument/2006/relationships/oleObject" Target="embeddings/oleObject49.bin"/><Relationship Id="rId116" Type="http://schemas.openxmlformats.org/officeDocument/2006/relationships/image" Target="media/image56.wmf"/><Relationship Id="rId124" Type="http://schemas.openxmlformats.org/officeDocument/2006/relationships/oleObject" Target="embeddings/oleObject57.bin"/><Relationship Id="rId129" Type="http://schemas.openxmlformats.org/officeDocument/2006/relationships/image" Target="media/image62.wmf"/><Relationship Id="rId137" Type="http://schemas.openxmlformats.org/officeDocument/2006/relationships/oleObject" Target="embeddings/oleObject64.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image" Target="media/image53.wmf"/><Relationship Id="rId132" Type="http://schemas.openxmlformats.org/officeDocument/2006/relationships/oleObject" Target="embeddings/oleObject61.bin"/><Relationship Id="rId140" Type="http://schemas.openxmlformats.org/officeDocument/2006/relationships/image" Target="media/image67.wmf"/><Relationship Id="rId145" Type="http://schemas.openxmlformats.org/officeDocument/2006/relationships/image" Target="media/image69.png"/><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oleObject" Target="embeddings/oleObject54.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oleObject" Target="embeddings/oleObject63.bin"/><Relationship Id="rId143" Type="http://schemas.openxmlformats.org/officeDocument/2006/relationships/hyperlink" Target="http://www2.raritanval.edu/departments/Science/full-time/Weber/Microbiology%20Majors/Chapter6sub/Chapter6sub_print.html" TargetMode="External"/><Relationship Id="rId148" Type="http://schemas.openxmlformats.org/officeDocument/2006/relationships/header" Target="header2.xml"/><Relationship Id="rId15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0.wmf"/><Relationship Id="rId141" Type="http://schemas.openxmlformats.org/officeDocument/2006/relationships/oleObject" Target="embeddings/oleObject66.bin"/><Relationship Id="rId146" Type="http://schemas.openxmlformats.org/officeDocument/2006/relationships/image" Target="media/image70.png"/><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5.png"/><Relationship Id="rId131" Type="http://schemas.openxmlformats.org/officeDocument/2006/relationships/image" Target="media/image63.wmf"/><Relationship Id="rId136" Type="http://schemas.openxmlformats.org/officeDocument/2006/relationships/image" Target="media/image65.wmf"/><Relationship Id="rId61" Type="http://schemas.openxmlformats.org/officeDocument/2006/relationships/image" Target="media/image27.wmf"/><Relationship Id="rId82" Type="http://schemas.openxmlformats.org/officeDocument/2006/relationships/image" Target="media/image38.wmf"/><Relationship Id="rId152" Type="http://schemas.openxmlformats.org/officeDocument/2006/relationships/footer" Target="footer3.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image" Target="media/image50.wmf"/><Relationship Id="rId126" Type="http://schemas.openxmlformats.org/officeDocument/2006/relationships/oleObject" Target="embeddings/oleObject58.bin"/><Relationship Id="rId14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image" Target="media/image68.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F30A-90C3-42E8-84E0-F54C948A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Basic Functions and Operations</vt:lpstr>
    </vt:vector>
  </TitlesOfParts>
  <Company>Clemson University</Company>
  <LinksUpToDate>false</LinksUpToDate>
  <CharactersWithSpaces>24245</CharactersWithSpaces>
  <SharedDoc>false</SharedDoc>
  <HLinks>
    <vt:vector size="78" baseType="variant">
      <vt:variant>
        <vt:i4>1703985</vt:i4>
      </vt:variant>
      <vt:variant>
        <vt:i4>74</vt:i4>
      </vt:variant>
      <vt:variant>
        <vt:i4>0</vt:i4>
      </vt:variant>
      <vt:variant>
        <vt:i4>5</vt:i4>
      </vt:variant>
      <vt:variant>
        <vt:lpwstr/>
      </vt:variant>
      <vt:variant>
        <vt:lpwstr>_Toc86554789</vt:lpwstr>
      </vt:variant>
      <vt:variant>
        <vt:i4>1769521</vt:i4>
      </vt:variant>
      <vt:variant>
        <vt:i4>68</vt:i4>
      </vt:variant>
      <vt:variant>
        <vt:i4>0</vt:i4>
      </vt:variant>
      <vt:variant>
        <vt:i4>5</vt:i4>
      </vt:variant>
      <vt:variant>
        <vt:lpwstr/>
      </vt:variant>
      <vt:variant>
        <vt:lpwstr>_Toc86554788</vt:lpwstr>
      </vt:variant>
      <vt:variant>
        <vt:i4>1310769</vt:i4>
      </vt:variant>
      <vt:variant>
        <vt:i4>62</vt:i4>
      </vt:variant>
      <vt:variant>
        <vt:i4>0</vt:i4>
      </vt:variant>
      <vt:variant>
        <vt:i4>5</vt:i4>
      </vt:variant>
      <vt:variant>
        <vt:lpwstr/>
      </vt:variant>
      <vt:variant>
        <vt:lpwstr>_Toc86554787</vt:lpwstr>
      </vt:variant>
      <vt:variant>
        <vt:i4>1376305</vt:i4>
      </vt:variant>
      <vt:variant>
        <vt:i4>56</vt:i4>
      </vt:variant>
      <vt:variant>
        <vt:i4>0</vt:i4>
      </vt:variant>
      <vt:variant>
        <vt:i4>5</vt:i4>
      </vt:variant>
      <vt:variant>
        <vt:lpwstr/>
      </vt:variant>
      <vt:variant>
        <vt:lpwstr>_Toc86554786</vt:lpwstr>
      </vt:variant>
      <vt:variant>
        <vt:i4>1441841</vt:i4>
      </vt:variant>
      <vt:variant>
        <vt:i4>50</vt:i4>
      </vt:variant>
      <vt:variant>
        <vt:i4>0</vt:i4>
      </vt:variant>
      <vt:variant>
        <vt:i4>5</vt:i4>
      </vt:variant>
      <vt:variant>
        <vt:lpwstr/>
      </vt:variant>
      <vt:variant>
        <vt:lpwstr>_Toc86554785</vt:lpwstr>
      </vt:variant>
      <vt:variant>
        <vt:i4>1507377</vt:i4>
      </vt:variant>
      <vt:variant>
        <vt:i4>44</vt:i4>
      </vt:variant>
      <vt:variant>
        <vt:i4>0</vt:i4>
      </vt:variant>
      <vt:variant>
        <vt:i4>5</vt:i4>
      </vt:variant>
      <vt:variant>
        <vt:lpwstr/>
      </vt:variant>
      <vt:variant>
        <vt:lpwstr>_Toc86554784</vt:lpwstr>
      </vt:variant>
      <vt:variant>
        <vt:i4>1048625</vt:i4>
      </vt:variant>
      <vt:variant>
        <vt:i4>38</vt:i4>
      </vt:variant>
      <vt:variant>
        <vt:i4>0</vt:i4>
      </vt:variant>
      <vt:variant>
        <vt:i4>5</vt:i4>
      </vt:variant>
      <vt:variant>
        <vt:lpwstr/>
      </vt:variant>
      <vt:variant>
        <vt:lpwstr>_Toc86554783</vt:lpwstr>
      </vt:variant>
      <vt:variant>
        <vt:i4>1114161</vt:i4>
      </vt:variant>
      <vt:variant>
        <vt:i4>32</vt:i4>
      </vt:variant>
      <vt:variant>
        <vt:i4>0</vt:i4>
      </vt:variant>
      <vt:variant>
        <vt:i4>5</vt:i4>
      </vt:variant>
      <vt:variant>
        <vt:lpwstr/>
      </vt:variant>
      <vt:variant>
        <vt:lpwstr>_Toc86554782</vt:lpwstr>
      </vt:variant>
      <vt:variant>
        <vt:i4>1179697</vt:i4>
      </vt:variant>
      <vt:variant>
        <vt:i4>26</vt:i4>
      </vt:variant>
      <vt:variant>
        <vt:i4>0</vt:i4>
      </vt:variant>
      <vt:variant>
        <vt:i4>5</vt:i4>
      </vt:variant>
      <vt:variant>
        <vt:lpwstr/>
      </vt:variant>
      <vt:variant>
        <vt:lpwstr>_Toc86554781</vt:lpwstr>
      </vt:variant>
      <vt:variant>
        <vt:i4>1245233</vt:i4>
      </vt:variant>
      <vt:variant>
        <vt:i4>20</vt:i4>
      </vt:variant>
      <vt:variant>
        <vt:i4>0</vt:i4>
      </vt:variant>
      <vt:variant>
        <vt:i4>5</vt:i4>
      </vt:variant>
      <vt:variant>
        <vt:lpwstr/>
      </vt:variant>
      <vt:variant>
        <vt:lpwstr>_Toc86554780</vt:lpwstr>
      </vt:variant>
      <vt:variant>
        <vt:i4>1703998</vt:i4>
      </vt:variant>
      <vt:variant>
        <vt:i4>14</vt:i4>
      </vt:variant>
      <vt:variant>
        <vt:i4>0</vt:i4>
      </vt:variant>
      <vt:variant>
        <vt:i4>5</vt:i4>
      </vt:variant>
      <vt:variant>
        <vt:lpwstr/>
      </vt:variant>
      <vt:variant>
        <vt:lpwstr>_Toc86554779</vt:lpwstr>
      </vt:variant>
      <vt:variant>
        <vt:i4>1769534</vt:i4>
      </vt:variant>
      <vt:variant>
        <vt:i4>8</vt:i4>
      </vt:variant>
      <vt:variant>
        <vt:i4>0</vt:i4>
      </vt:variant>
      <vt:variant>
        <vt:i4>5</vt:i4>
      </vt:variant>
      <vt:variant>
        <vt:lpwstr/>
      </vt:variant>
      <vt:variant>
        <vt:lpwstr>_Toc86554778</vt:lpwstr>
      </vt:variant>
      <vt:variant>
        <vt:i4>1310782</vt:i4>
      </vt:variant>
      <vt:variant>
        <vt:i4>2</vt:i4>
      </vt:variant>
      <vt:variant>
        <vt:i4>0</vt:i4>
      </vt:variant>
      <vt:variant>
        <vt:i4>5</vt:i4>
      </vt:variant>
      <vt:variant>
        <vt:lpwstr/>
      </vt:variant>
      <vt:variant>
        <vt:lpwstr>_Toc86554777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Functions and Operations</dc:title>
  <dc:creator>Windows User</dc:creator>
  <cp:keywords>integral value point slope line</cp:keywords>
  <cp:lastModifiedBy>Larry Murdoch</cp:lastModifiedBy>
  <cp:revision>3</cp:revision>
  <cp:lastPrinted>2015-02-12T00:12:00Z</cp:lastPrinted>
  <dcterms:created xsi:type="dcterms:W3CDTF">2015-04-22T22:02:00Z</dcterms:created>
  <dcterms:modified xsi:type="dcterms:W3CDTF">2015-04-22T23:45:00Z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